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4C42" w14:textId="4029D4C1" w:rsidR="00414635" w:rsidRDefault="00C45B03" w:rsidP="00566EEE">
      <w:pPr>
        <w:spacing w:before="240" w:after="240" w:line="240" w:lineRule="auto"/>
        <w:rPr>
          <w:rFonts w:ascii="Verdana" w:eastAsiaTheme="majorEastAsia" w:hAnsi="Verdana" w:cstheme="majorBidi"/>
          <w:bCs/>
          <w:color w:val="006A7F"/>
          <w:kern w:val="0"/>
          <w:sz w:val="36"/>
          <w:szCs w:val="36"/>
          <w14:ligatures w14:val="none"/>
        </w:rPr>
      </w:pPr>
      <w:r w:rsidRPr="00566EEE">
        <w:rPr>
          <w:rFonts w:ascii="Verdana" w:eastAsiaTheme="majorEastAsia" w:hAnsi="Verdana" w:cstheme="majorBidi"/>
          <w:bCs/>
          <w:color w:val="006A7F"/>
          <w:kern w:val="0"/>
          <w:sz w:val="36"/>
          <w:szCs w:val="36"/>
          <w14:ligatures w14:val="none"/>
        </w:rPr>
        <w:t xml:space="preserve">Expenses </w:t>
      </w:r>
      <w:r w:rsidR="00566EEE">
        <w:rPr>
          <w:rFonts w:ascii="Verdana" w:eastAsiaTheme="majorEastAsia" w:hAnsi="Verdana" w:cstheme="majorBidi"/>
          <w:bCs/>
          <w:color w:val="006A7F"/>
          <w:kern w:val="0"/>
          <w:sz w:val="36"/>
          <w:szCs w:val="36"/>
          <w14:ligatures w14:val="none"/>
        </w:rPr>
        <w:t xml:space="preserve">Classification </w:t>
      </w:r>
      <w:r w:rsidRPr="00566EEE">
        <w:rPr>
          <w:rFonts w:ascii="Verdana" w:eastAsiaTheme="majorEastAsia" w:hAnsi="Verdana" w:cstheme="majorBidi"/>
          <w:bCs/>
          <w:color w:val="006A7F"/>
          <w:kern w:val="0"/>
          <w:sz w:val="36"/>
          <w:szCs w:val="36"/>
          <w14:ligatures w14:val="none"/>
        </w:rPr>
        <w:t xml:space="preserve">Webinar </w:t>
      </w:r>
      <w:r w:rsidR="003917A7">
        <w:rPr>
          <w:rFonts w:ascii="Verdana" w:eastAsiaTheme="majorEastAsia" w:hAnsi="Verdana" w:cstheme="majorBidi"/>
          <w:bCs/>
          <w:color w:val="006A7F"/>
          <w:kern w:val="0"/>
          <w:sz w:val="36"/>
          <w:szCs w:val="36"/>
          <w14:ligatures w14:val="none"/>
        </w:rPr>
        <w:t>9 July 2024</w:t>
      </w:r>
      <w:r w:rsidRPr="00566EEE">
        <w:rPr>
          <w:rFonts w:ascii="Verdana" w:eastAsiaTheme="majorEastAsia" w:hAnsi="Verdana" w:cstheme="majorBidi"/>
          <w:bCs/>
          <w:color w:val="006A7F"/>
          <w:kern w:val="0"/>
          <w:sz w:val="36"/>
          <w:szCs w:val="36"/>
          <w14:ligatures w14:val="none"/>
        </w:rPr>
        <w:t xml:space="preserve"> </w:t>
      </w:r>
    </w:p>
    <w:p w14:paraId="18181CA0" w14:textId="1FD3D0EC" w:rsidR="00C45B03" w:rsidRPr="00566EEE" w:rsidRDefault="00414635" w:rsidP="00566EEE">
      <w:pPr>
        <w:spacing w:before="240" w:after="240" w:line="240" w:lineRule="auto"/>
        <w:rPr>
          <w:rFonts w:ascii="Verdana" w:eastAsiaTheme="majorEastAsia" w:hAnsi="Verdana" w:cstheme="majorBidi"/>
          <w:bCs/>
          <w:color w:val="006A7F"/>
          <w:kern w:val="0"/>
          <w:sz w:val="36"/>
          <w:szCs w:val="36"/>
          <w14:ligatures w14:val="none"/>
        </w:rPr>
      </w:pPr>
      <w:r>
        <w:rPr>
          <w:rFonts w:ascii="Verdana" w:eastAsiaTheme="majorEastAsia" w:hAnsi="Verdana" w:cstheme="majorBidi"/>
          <w:bCs/>
          <w:color w:val="006A7F"/>
          <w:kern w:val="0"/>
          <w:sz w:val="36"/>
          <w:szCs w:val="36"/>
          <w14:ligatures w14:val="none"/>
        </w:rPr>
        <w:t>Unanswered</w:t>
      </w:r>
      <w:r w:rsidR="00566EEE">
        <w:rPr>
          <w:rFonts w:ascii="Verdana" w:eastAsiaTheme="majorEastAsia" w:hAnsi="Verdana" w:cstheme="majorBidi"/>
          <w:bCs/>
          <w:color w:val="006A7F"/>
          <w:kern w:val="0"/>
          <w:sz w:val="36"/>
          <w:szCs w:val="36"/>
          <w14:ligatures w14:val="none"/>
        </w:rPr>
        <w:t xml:space="preserve"> Questions</w:t>
      </w:r>
    </w:p>
    <w:tbl>
      <w:tblPr>
        <w:tblStyle w:val="GridTable1Light"/>
        <w:tblW w:w="9493" w:type="dxa"/>
        <w:tblLook w:val="04A0" w:firstRow="1" w:lastRow="0" w:firstColumn="1" w:lastColumn="0" w:noHBand="0" w:noVBand="1"/>
      </w:tblPr>
      <w:tblGrid>
        <w:gridCol w:w="4106"/>
        <w:gridCol w:w="5387"/>
      </w:tblGrid>
      <w:tr w:rsidR="00C45B03" w:rsidRPr="00414635" w14:paraId="4F499315" w14:textId="77777777" w:rsidTr="00BB6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66834168" w14:textId="48B0EE25" w:rsidR="00C45B03" w:rsidRPr="00414635" w:rsidRDefault="00566EEE">
            <w:pPr>
              <w:rPr>
                <w:rFonts w:ascii="Open Sans" w:hAnsi="Open Sans" w:cs="Open Sans"/>
                <w:kern w:val="0"/>
                <w:sz w:val="22"/>
                <w:szCs w:val="22"/>
                <w14:ligatures w14:val="none"/>
              </w:rPr>
            </w:pPr>
            <w:r w:rsidRPr="00414635">
              <w:rPr>
                <w:rFonts w:ascii="Open Sans" w:hAnsi="Open Sans" w:cs="Open Sans"/>
                <w:kern w:val="0"/>
                <w:sz w:val="22"/>
                <w:szCs w:val="22"/>
                <w14:ligatures w14:val="none"/>
              </w:rPr>
              <w:t>Q</w:t>
            </w:r>
            <w:r w:rsidR="00BB6474" w:rsidRPr="00414635">
              <w:rPr>
                <w:rFonts w:ascii="Open Sans" w:hAnsi="Open Sans" w:cs="Open Sans"/>
                <w:kern w:val="0"/>
                <w:sz w:val="22"/>
                <w:szCs w:val="22"/>
                <w14:ligatures w14:val="none"/>
              </w:rPr>
              <w:t>uestions</w:t>
            </w:r>
          </w:p>
          <w:p w14:paraId="33BEFC68" w14:textId="62571233" w:rsidR="00D85D79" w:rsidRPr="00414635" w:rsidRDefault="00D85D79">
            <w:pPr>
              <w:rPr>
                <w:rFonts w:ascii="Open Sans" w:hAnsi="Open Sans" w:cs="Open Sans"/>
                <w:kern w:val="0"/>
                <w:sz w:val="22"/>
                <w:szCs w:val="22"/>
                <w14:ligatures w14:val="none"/>
              </w:rPr>
            </w:pPr>
          </w:p>
        </w:tc>
        <w:tc>
          <w:tcPr>
            <w:tcW w:w="5387" w:type="dxa"/>
          </w:tcPr>
          <w:p w14:paraId="40E5E9DD" w14:textId="2073D822" w:rsidR="00C45B03" w:rsidRPr="00414635" w:rsidRDefault="00BB6474">
            <w:pPr>
              <w:cnfStyle w:val="100000000000" w:firstRow="1"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INPAG Secretariat </w:t>
            </w:r>
            <w:r w:rsidR="006853ED" w:rsidRPr="00414635">
              <w:rPr>
                <w:rFonts w:ascii="Open Sans" w:hAnsi="Open Sans" w:cs="Open Sans"/>
                <w:kern w:val="0"/>
                <w:sz w:val="22"/>
                <w:szCs w:val="22"/>
                <w14:ligatures w14:val="none"/>
              </w:rPr>
              <w:t>Response</w:t>
            </w:r>
          </w:p>
        </w:tc>
      </w:tr>
      <w:tr w:rsidR="00516AEF" w:rsidRPr="00414635" w14:paraId="349ED4C3"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1D442F43" w14:textId="3725CCDE" w:rsidR="00516AEF" w:rsidRPr="00414635" w:rsidRDefault="00516AEF" w:rsidP="00516AEF">
            <w:pPr>
              <w:pStyle w:val="xmsolistparagraph"/>
              <w:shd w:val="clear" w:color="auto" w:fill="FFFFFF"/>
              <w:spacing w:before="0" w:beforeAutospacing="0" w:after="0" w:afterAutospacing="0"/>
              <w:rPr>
                <w:rFonts w:ascii="Open Sans" w:eastAsiaTheme="minorHAnsi" w:hAnsi="Open Sans" w:cs="Open Sans"/>
                <w:b w:val="0"/>
                <w:bCs w:val="0"/>
                <w:sz w:val="22"/>
                <w:szCs w:val="22"/>
                <w:lang w:eastAsia="en-US"/>
              </w:rPr>
            </w:pPr>
            <w:r w:rsidRPr="00414635">
              <w:rPr>
                <w:rFonts w:ascii="Open Sans" w:eastAsiaTheme="minorHAnsi" w:hAnsi="Open Sans" w:cs="Open Sans"/>
                <w:b w:val="0"/>
                <w:bCs w:val="0"/>
                <w:sz w:val="22"/>
                <w:szCs w:val="22"/>
                <w:lang w:eastAsia="en-US"/>
              </w:rPr>
              <w:t>Should changes in the [allocation/apportionment] method be treated in the same way as changes in accounting policies?</w:t>
            </w:r>
          </w:p>
        </w:tc>
        <w:tc>
          <w:tcPr>
            <w:tcW w:w="5387" w:type="dxa"/>
          </w:tcPr>
          <w:p w14:paraId="25B33787" w14:textId="142D0233" w:rsidR="003747A0" w:rsidRPr="00414635" w:rsidRDefault="00516AEF" w:rsidP="00B82E9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14635">
              <w:rPr>
                <w:rFonts w:ascii="Open Sans" w:hAnsi="Open Sans" w:cs="Open Sans"/>
                <w:kern w:val="0"/>
                <w:sz w:val="22"/>
                <w:szCs w:val="22"/>
                <w14:ligatures w14:val="none"/>
              </w:rPr>
              <w:t xml:space="preserve">Changes to methodologies for allocation/ apportionment of support service costs </w:t>
            </w:r>
            <w:r w:rsidR="009E10CA" w:rsidRPr="00414635">
              <w:rPr>
                <w:rFonts w:ascii="Open Sans" w:hAnsi="Open Sans" w:cs="Open Sans"/>
                <w:kern w:val="0"/>
                <w:sz w:val="22"/>
                <w:szCs w:val="22"/>
                <w14:ligatures w14:val="none"/>
              </w:rPr>
              <w:t>for</w:t>
            </w:r>
            <w:r w:rsidRPr="00414635">
              <w:rPr>
                <w:rFonts w:ascii="Open Sans" w:hAnsi="Open Sans" w:cs="Open Sans"/>
                <w:kern w:val="0"/>
                <w:sz w:val="22"/>
                <w:szCs w:val="22"/>
                <w14:ligatures w14:val="none"/>
              </w:rPr>
              <w:t xml:space="preserve"> reported functions or activities </w:t>
            </w:r>
            <w:r w:rsidR="00644165" w:rsidRPr="00414635">
              <w:rPr>
                <w:rFonts w:ascii="Open Sans" w:hAnsi="Open Sans" w:cs="Open Sans"/>
                <w:kern w:val="0"/>
                <w:sz w:val="22"/>
                <w:szCs w:val="22"/>
                <w14:ligatures w14:val="none"/>
              </w:rPr>
              <w:t xml:space="preserve">will be </w:t>
            </w:r>
            <w:r w:rsidR="00C17317" w:rsidRPr="00414635">
              <w:rPr>
                <w:rFonts w:ascii="Open Sans" w:hAnsi="Open Sans" w:cs="Open Sans"/>
                <w:kern w:val="0"/>
                <w:sz w:val="22"/>
                <w:szCs w:val="22"/>
                <w14:ligatures w14:val="none"/>
              </w:rPr>
              <w:t>changes in accounting estimate</w:t>
            </w:r>
            <w:r w:rsidR="00644165" w:rsidRPr="00414635">
              <w:rPr>
                <w:rFonts w:ascii="Open Sans" w:hAnsi="Open Sans" w:cs="Open Sans"/>
                <w:kern w:val="0"/>
                <w:sz w:val="22"/>
                <w:szCs w:val="22"/>
                <w14:ligatures w14:val="none"/>
              </w:rPr>
              <w:t xml:space="preserve"> if changes occur</w:t>
            </w:r>
            <w:r w:rsidR="00AD2010" w:rsidRPr="00414635">
              <w:rPr>
                <w:rFonts w:ascii="Open Sans" w:hAnsi="Open Sans" w:cs="Open Sans"/>
                <w:kern w:val="0"/>
                <w:sz w:val="22"/>
                <w:szCs w:val="22"/>
                <w14:ligatures w14:val="none"/>
              </w:rPr>
              <w:t>,</w:t>
            </w:r>
            <w:r w:rsidR="00644165" w:rsidRPr="00414635">
              <w:rPr>
                <w:rFonts w:ascii="Open Sans" w:hAnsi="Open Sans" w:cs="Open Sans"/>
                <w:kern w:val="0"/>
                <w:sz w:val="22"/>
                <w:szCs w:val="22"/>
                <w14:ligatures w14:val="none"/>
              </w:rPr>
              <w:t xml:space="preserve"> </w:t>
            </w:r>
            <w:r w:rsidR="00AD2010" w:rsidRPr="00414635">
              <w:rPr>
                <w:rFonts w:ascii="Open Sans" w:hAnsi="Open Sans" w:cs="Open Sans"/>
                <w:kern w:val="0"/>
                <w:sz w:val="22"/>
                <w:szCs w:val="22"/>
                <w14:ligatures w14:val="none"/>
              </w:rPr>
              <w:t xml:space="preserve">for example, </w:t>
            </w:r>
            <w:r w:rsidR="00644165" w:rsidRPr="00414635">
              <w:rPr>
                <w:rFonts w:ascii="Open Sans" w:hAnsi="Open Sans" w:cs="Open Sans"/>
                <w:kern w:val="0"/>
                <w:sz w:val="22"/>
                <w:szCs w:val="22"/>
                <w14:ligatures w14:val="none"/>
              </w:rPr>
              <w:t>as a result of new information, new developments or more experience.</w:t>
            </w:r>
            <w:r w:rsidR="00B82E97" w:rsidRPr="00414635">
              <w:rPr>
                <w:rFonts w:ascii="Open Sans" w:hAnsi="Open Sans" w:cs="Open Sans"/>
              </w:rPr>
              <w:t xml:space="preserve"> </w:t>
            </w:r>
            <w:r w:rsidR="00970C7E" w:rsidRPr="00414635">
              <w:rPr>
                <w:rFonts w:ascii="Open Sans" w:hAnsi="Open Sans" w:cs="Open Sans"/>
                <w:kern w:val="0"/>
                <w:sz w:val="22"/>
                <w:szCs w:val="22"/>
                <w14:ligatures w14:val="none"/>
              </w:rPr>
              <w:t>They are to be reported prospectively in accordance with INPAG section 10, Accounting policies estimates and errors.</w:t>
            </w:r>
          </w:p>
          <w:p w14:paraId="4ED8A12A" w14:textId="12776C2E" w:rsidR="003747A0" w:rsidRPr="00414635" w:rsidRDefault="00970C7E" w:rsidP="00B82E97">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If</w:t>
            </w:r>
            <w:r w:rsidR="00B82E97" w:rsidRPr="00414635">
              <w:rPr>
                <w:rFonts w:ascii="Open Sans" w:hAnsi="Open Sans" w:cs="Open Sans"/>
                <w:kern w:val="0"/>
                <w:sz w:val="22"/>
                <w:szCs w:val="22"/>
                <w14:ligatures w14:val="none"/>
              </w:rPr>
              <w:t xml:space="preserve"> </w:t>
            </w:r>
            <w:r w:rsidR="00187FDC" w:rsidRPr="00414635">
              <w:rPr>
                <w:rFonts w:ascii="Open Sans" w:hAnsi="Open Sans" w:cs="Open Sans"/>
                <w:kern w:val="0"/>
                <w:sz w:val="22"/>
                <w:szCs w:val="22"/>
                <w14:ligatures w14:val="none"/>
              </w:rPr>
              <w:t>the changes</w:t>
            </w:r>
            <w:r w:rsidR="009356A6" w:rsidRPr="00414635">
              <w:rPr>
                <w:rFonts w:ascii="Open Sans" w:hAnsi="Open Sans" w:cs="Open Sans"/>
                <w:kern w:val="0"/>
                <w:sz w:val="22"/>
                <w:szCs w:val="22"/>
                <w14:ligatures w14:val="none"/>
              </w:rPr>
              <w:t xml:space="preserve"> in allocation/apportionment </w:t>
            </w:r>
            <w:r w:rsidR="00B82E97" w:rsidRPr="00414635">
              <w:rPr>
                <w:rFonts w:ascii="Open Sans" w:hAnsi="Open Sans" w:cs="Open Sans"/>
                <w:kern w:val="0"/>
                <w:sz w:val="22"/>
                <w:szCs w:val="22"/>
                <w14:ligatures w14:val="none"/>
              </w:rPr>
              <w:t>result from the correction of prior period errors</w:t>
            </w:r>
            <w:r w:rsidRPr="00414635">
              <w:rPr>
                <w:rFonts w:ascii="Open Sans" w:hAnsi="Open Sans" w:cs="Open Sans"/>
                <w:kern w:val="0"/>
                <w:sz w:val="22"/>
                <w:szCs w:val="22"/>
                <w14:ligatures w14:val="none"/>
              </w:rPr>
              <w:t xml:space="preserve"> because</w:t>
            </w:r>
            <w:r w:rsidR="00F06401" w:rsidRPr="00414635">
              <w:rPr>
                <w:rFonts w:ascii="Open Sans" w:hAnsi="Open Sans" w:cs="Open Sans"/>
                <w:kern w:val="0"/>
                <w:sz w:val="22"/>
                <w:szCs w:val="22"/>
                <w14:ligatures w14:val="none"/>
              </w:rPr>
              <w:t xml:space="preserve"> the apportionment allocation was based on incorrect information</w:t>
            </w:r>
            <w:r w:rsidR="00D326A0" w:rsidRPr="00414635">
              <w:rPr>
                <w:rFonts w:ascii="Open Sans" w:hAnsi="Open Sans" w:cs="Open Sans"/>
                <w:kern w:val="0"/>
                <w:sz w:val="22"/>
                <w:szCs w:val="22"/>
                <w14:ligatures w14:val="none"/>
              </w:rPr>
              <w:t xml:space="preserve"> or inappropriate techniques</w:t>
            </w:r>
            <w:r w:rsidR="00F06401" w:rsidRPr="00414635">
              <w:rPr>
                <w:rFonts w:ascii="Open Sans" w:hAnsi="Open Sans" w:cs="Open Sans"/>
                <w:kern w:val="0"/>
                <w:sz w:val="22"/>
                <w:szCs w:val="22"/>
                <w14:ligatures w14:val="none"/>
              </w:rPr>
              <w:t xml:space="preserve"> then it should be reported retrospectively.  </w:t>
            </w:r>
          </w:p>
          <w:p w14:paraId="5BD5D024" w14:textId="17C43C30" w:rsidR="00B646C2" w:rsidRPr="00414635" w:rsidRDefault="00B646C2" w:rsidP="00B82E97">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B674C1" w:rsidRPr="00414635" w14:paraId="14F29469"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15BBF675" w14:textId="77777777" w:rsidR="00B674C1" w:rsidRPr="00414635" w:rsidRDefault="00B674C1" w:rsidP="00B674C1">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I do agree with [the views expressed], FD's Salary could be allocated to a specific project and also could recover from indirect costs.</w:t>
            </w:r>
          </w:p>
          <w:p w14:paraId="7656C6B3" w14:textId="77777777" w:rsidR="00B674C1" w:rsidRPr="00414635" w:rsidRDefault="00B674C1" w:rsidP="00B674C1">
            <w:pPr>
              <w:pStyle w:val="xmsolistparagraph"/>
              <w:shd w:val="clear" w:color="auto" w:fill="FFFFFF"/>
              <w:spacing w:before="0" w:beforeAutospacing="0" w:after="0" w:afterAutospacing="0"/>
              <w:rPr>
                <w:rFonts w:ascii="Open Sans" w:eastAsiaTheme="minorHAnsi" w:hAnsi="Open Sans" w:cs="Open Sans"/>
                <w:b w:val="0"/>
                <w:bCs w:val="0"/>
                <w:sz w:val="22"/>
                <w:szCs w:val="22"/>
                <w:lang w:eastAsia="en-US"/>
              </w:rPr>
            </w:pPr>
          </w:p>
        </w:tc>
        <w:tc>
          <w:tcPr>
            <w:tcW w:w="5387" w:type="dxa"/>
          </w:tcPr>
          <w:p w14:paraId="66EA9CFA" w14:textId="49FDA803" w:rsidR="00B674C1" w:rsidRPr="00414635" w:rsidRDefault="00970C7E" w:rsidP="00B674C1">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I</w:t>
            </w:r>
            <w:r w:rsidR="00B674C1" w:rsidRPr="00414635">
              <w:rPr>
                <w:rFonts w:ascii="Open Sans" w:hAnsi="Open Sans" w:cs="Open Sans"/>
                <w:kern w:val="0"/>
                <w:sz w:val="22"/>
                <w:szCs w:val="22"/>
                <w14:ligatures w14:val="none"/>
              </w:rPr>
              <w:t xml:space="preserve">t is often the case that the Finance Director’s salary will be a part of support service costs as finance directors often support the whole </w:t>
            </w:r>
            <w:r w:rsidR="00C33A07" w:rsidRPr="00414635">
              <w:rPr>
                <w:rFonts w:ascii="Open Sans" w:hAnsi="Open Sans" w:cs="Open Sans"/>
                <w:kern w:val="0"/>
                <w:sz w:val="22"/>
                <w:szCs w:val="22"/>
                <w14:ligatures w14:val="none"/>
              </w:rPr>
              <w:t>of the NPO</w:t>
            </w:r>
            <w:r w:rsidR="00AF2D85" w:rsidRPr="00414635">
              <w:rPr>
                <w:rFonts w:ascii="Open Sans" w:hAnsi="Open Sans" w:cs="Open Sans"/>
                <w:kern w:val="0"/>
                <w:sz w:val="22"/>
                <w:szCs w:val="22"/>
                <w14:ligatures w14:val="none"/>
              </w:rPr>
              <w:t>’</w:t>
            </w:r>
            <w:r w:rsidR="00C33A07" w:rsidRPr="00414635">
              <w:rPr>
                <w:rFonts w:ascii="Open Sans" w:hAnsi="Open Sans" w:cs="Open Sans"/>
                <w:kern w:val="0"/>
                <w:sz w:val="22"/>
                <w:szCs w:val="22"/>
                <w14:ligatures w14:val="none"/>
              </w:rPr>
              <w:t>s activities</w:t>
            </w:r>
            <w:r w:rsidR="00B674C1" w:rsidRPr="00414635">
              <w:rPr>
                <w:rFonts w:ascii="Open Sans" w:hAnsi="Open Sans" w:cs="Open Sans"/>
                <w:kern w:val="0"/>
                <w:sz w:val="22"/>
                <w:szCs w:val="22"/>
                <w14:ligatures w14:val="none"/>
              </w:rPr>
              <w:t xml:space="preserve"> by leading the financ</w:t>
            </w:r>
            <w:r w:rsidR="00C33A07" w:rsidRPr="00414635">
              <w:rPr>
                <w:rFonts w:ascii="Open Sans" w:hAnsi="Open Sans" w:cs="Open Sans"/>
                <w:kern w:val="0"/>
                <w:sz w:val="22"/>
                <w:szCs w:val="22"/>
                <w14:ligatures w14:val="none"/>
              </w:rPr>
              <w:t>e</w:t>
            </w:r>
            <w:r w:rsidR="00B674C1" w:rsidRPr="00414635">
              <w:rPr>
                <w:rFonts w:ascii="Open Sans" w:hAnsi="Open Sans" w:cs="Open Sans"/>
                <w:kern w:val="0"/>
                <w:sz w:val="22"/>
                <w:szCs w:val="22"/>
                <w14:ligatures w14:val="none"/>
              </w:rPr>
              <w:t xml:space="preserve"> function. </w:t>
            </w:r>
          </w:p>
          <w:p w14:paraId="3E401ED1" w14:textId="77777777" w:rsidR="00125F77" w:rsidRPr="00414635" w:rsidRDefault="00B674C1" w:rsidP="00B674C1">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Where </w:t>
            </w:r>
            <w:r w:rsidR="006E54F5" w:rsidRPr="00414635">
              <w:rPr>
                <w:rFonts w:ascii="Open Sans" w:hAnsi="Open Sans" w:cs="Open Sans"/>
                <w:kern w:val="0"/>
                <w:sz w:val="22"/>
                <w:szCs w:val="22"/>
                <w14:ligatures w14:val="none"/>
              </w:rPr>
              <w:t xml:space="preserve">an </w:t>
            </w:r>
            <w:r w:rsidRPr="00414635">
              <w:rPr>
                <w:rFonts w:ascii="Open Sans" w:hAnsi="Open Sans" w:cs="Open Sans"/>
                <w:kern w:val="0"/>
                <w:sz w:val="22"/>
                <w:szCs w:val="22"/>
                <w14:ligatures w14:val="none"/>
              </w:rPr>
              <w:t>NPO report</w:t>
            </w:r>
            <w:r w:rsidR="006E54F5" w:rsidRPr="00414635">
              <w:rPr>
                <w:rFonts w:ascii="Open Sans" w:hAnsi="Open Sans" w:cs="Open Sans"/>
                <w:kern w:val="0"/>
                <w:sz w:val="22"/>
                <w:szCs w:val="22"/>
                <w14:ligatures w14:val="none"/>
              </w:rPr>
              <w:t>s</w:t>
            </w:r>
            <w:r w:rsidRPr="00414635">
              <w:rPr>
                <w:rFonts w:ascii="Open Sans" w:hAnsi="Open Sans" w:cs="Open Sans"/>
                <w:kern w:val="0"/>
                <w:sz w:val="22"/>
                <w:szCs w:val="22"/>
                <w14:ligatures w14:val="none"/>
              </w:rPr>
              <w:t xml:space="preserve"> costs by function, or</w:t>
            </w:r>
            <w:r w:rsidR="006E54F5" w:rsidRPr="00414635">
              <w:rPr>
                <w:rFonts w:ascii="Open Sans" w:hAnsi="Open Sans" w:cs="Open Sans"/>
                <w:kern w:val="0"/>
                <w:sz w:val="22"/>
                <w:szCs w:val="22"/>
                <w14:ligatures w14:val="none"/>
              </w:rPr>
              <w:t xml:space="preserve"> uses</w:t>
            </w:r>
            <w:r w:rsidRPr="00414635">
              <w:rPr>
                <w:rFonts w:ascii="Open Sans" w:hAnsi="Open Sans" w:cs="Open Sans"/>
                <w:kern w:val="0"/>
                <w:sz w:val="22"/>
                <w:szCs w:val="22"/>
                <w14:ligatures w14:val="none"/>
              </w:rPr>
              <w:t xml:space="preserve"> a mixed presentation and costs need to be allocated to functions or activities then an appropriate apportionment basis must be selected</w:t>
            </w:r>
            <w:r w:rsidR="00E500CC" w:rsidRPr="00414635">
              <w:rPr>
                <w:rFonts w:ascii="Open Sans" w:hAnsi="Open Sans" w:cs="Open Sans"/>
                <w:kern w:val="0"/>
                <w:sz w:val="22"/>
                <w:szCs w:val="22"/>
                <w14:ligatures w14:val="none"/>
              </w:rPr>
              <w:t xml:space="preserve">.  </w:t>
            </w:r>
          </w:p>
          <w:p w14:paraId="5194FEAF" w14:textId="32B0A895" w:rsidR="00B674C1" w:rsidRPr="00414635" w:rsidRDefault="00E500CC" w:rsidP="00B674C1">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The basis chosen is one</w:t>
            </w:r>
            <w:r w:rsidR="00B674C1" w:rsidRPr="00414635">
              <w:rPr>
                <w:rFonts w:ascii="Open Sans" w:hAnsi="Open Sans" w:cs="Open Sans"/>
                <w:kern w:val="0"/>
                <w:sz w:val="22"/>
                <w:szCs w:val="22"/>
                <w14:ligatures w14:val="none"/>
              </w:rPr>
              <w:t xml:space="preserve"> that most faithfully represents the components that comprise support costs.</w:t>
            </w:r>
          </w:p>
          <w:p w14:paraId="5BFB4D93" w14:textId="7136F537" w:rsidR="00B674C1" w:rsidRPr="00414635" w:rsidRDefault="00B674C1" w:rsidP="00B674C1">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It is possible though that major projects need the direct support of the Finance Director. Where </w:t>
            </w:r>
            <w:r w:rsidR="00117CA8" w:rsidRPr="00414635">
              <w:rPr>
                <w:rFonts w:ascii="Open Sans" w:hAnsi="Open Sans" w:cs="Open Sans"/>
                <w:kern w:val="0"/>
                <w:sz w:val="22"/>
                <w:szCs w:val="22"/>
                <w14:ligatures w14:val="none"/>
              </w:rPr>
              <w:t>expenses are reported by function or activity it may be</w:t>
            </w:r>
            <w:r w:rsidRPr="00414635">
              <w:rPr>
                <w:rFonts w:ascii="Open Sans" w:hAnsi="Open Sans" w:cs="Open Sans"/>
                <w:kern w:val="0"/>
                <w:sz w:val="22"/>
                <w:szCs w:val="22"/>
                <w14:ligatures w14:val="none"/>
              </w:rPr>
              <w:t xml:space="preserve"> appropriate </w:t>
            </w:r>
            <w:r w:rsidR="00117CA8" w:rsidRPr="00414635">
              <w:rPr>
                <w:rFonts w:ascii="Open Sans" w:hAnsi="Open Sans" w:cs="Open Sans"/>
                <w:kern w:val="0"/>
                <w:sz w:val="22"/>
                <w:szCs w:val="22"/>
                <w14:ligatures w14:val="none"/>
              </w:rPr>
              <w:t xml:space="preserve">to directly </w:t>
            </w:r>
            <w:r w:rsidRPr="00414635">
              <w:rPr>
                <w:rFonts w:ascii="Open Sans" w:hAnsi="Open Sans" w:cs="Open Sans"/>
                <w:kern w:val="0"/>
                <w:sz w:val="22"/>
                <w:szCs w:val="22"/>
                <w14:ligatures w14:val="none"/>
              </w:rPr>
              <w:t>allocat</w:t>
            </w:r>
            <w:r w:rsidR="00117CA8" w:rsidRPr="00414635">
              <w:rPr>
                <w:rFonts w:ascii="Open Sans" w:hAnsi="Open Sans" w:cs="Open Sans"/>
                <w:kern w:val="0"/>
                <w:sz w:val="22"/>
                <w:szCs w:val="22"/>
                <w14:ligatures w14:val="none"/>
              </w:rPr>
              <w:t>e</w:t>
            </w:r>
            <w:r w:rsidRPr="00414635">
              <w:rPr>
                <w:rFonts w:ascii="Open Sans" w:hAnsi="Open Sans" w:cs="Open Sans"/>
                <w:kern w:val="0"/>
                <w:sz w:val="22"/>
                <w:szCs w:val="22"/>
                <w14:ligatures w14:val="none"/>
              </w:rPr>
              <w:t xml:space="preserve"> the Finance Director’s costs </w:t>
            </w:r>
            <w:r w:rsidR="00117CA8" w:rsidRPr="00414635">
              <w:rPr>
                <w:rFonts w:ascii="Open Sans" w:hAnsi="Open Sans" w:cs="Open Sans"/>
                <w:kern w:val="0"/>
                <w:sz w:val="22"/>
                <w:szCs w:val="22"/>
                <w14:ligatures w14:val="none"/>
              </w:rPr>
              <w:t>to the major project</w:t>
            </w:r>
            <w:r w:rsidRPr="00414635">
              <w:rPr>
                <w:rFonts w:ascii="Open Sans" w:hAnsi="Open Sans" w:cs="Open Sans"/>
                <w:kern w:val="0"/>
                <w:sz w:val="22"/>
                <w:szCs w:val="22"/>
                <w14:ligatures w14:val="none"/>
              </w:rPr>
              <w:t xml:space="preserve">. </w:t>
            </w:r>
          </w:p>
          <w:p w14:paraId="7A11B8FC" w14:textId="77777777" w:rsidR="00B674C1" w:rsidRPr="00414635" w:rsidRDefault="00B674C1" w:rsidP="00B674C1">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371F7943"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541C13C5" w14:textId="4CFDBBAF" w:rsidR="00E41474" w:rsidRPr="00414635" w:rsidRDefault="00E41474" w:rsidP="00E41474">
            <w:pPr>
              <w:pStyle w:val="xmsolistparagraph"/>
              <w:shd w:val="clear" w:color="auto" w:fill="FFFFFF"/>
              <w:spacing w:before="0" w:beforeAutospacing="0" w:after="0" w:afterAutospacing="0"/>
              <w:rPr>
                <w:rFonts w:ascii="Open Sans" w:eastAsiaTheme="minorHAnsi" w:hAnsi="Open Sans" w:cs="Open Sans"/>
                <w:b w:val="0"/>
                <w:bCs w:val="0"/>
                <w:sz w:val="22"/>
                <w:szCs w:val="22"/>
                <w:lang w:eastAsia="en-US"/>
              </w:rPr>
            </w:pPr>
            <w:r w:rsidRPr="00414635">
              <w:rPr>
                <w:rFonts w:ascii="Open Sans" w:hAnsi="Open Sans" w:cs="Open Sans"/>
                <w:b w:val="0"/>
                <w:bCs w:val="0"/>
                <w:sz w:val="22"/>
                <w:szCs w:val="22"/>
              </w:rPr>
              <w:lastRenderedPageBreak/>
              <w:t>I believe that the main challenge of the project is to link the basic principle of recognition based on that expectation of linking expenses based on budgetary consumption. It is important to focus efforts on the classification according to the object of expenditure. What have the entities contributed in relation to these concerns?</w:t>
            </w:r>
          </w:p>
        </w:tc>
        <w:tc>
          <w:tcPr>
            <w:tcW w:w="5387" w:type="dxa"/>
          </w:tcPr>
          <w:p w14:paraId="17850274" w14:textId="2EB2E0BA" w:rsidR="00314A5E" w:rsidRPr="00414635" w:rsidRDefault="0014591E" w:rsidP="00804089">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IN</w:t>
            </w:r>
            <w:r w:rsidR="00784B56" w:rsidRPr="00414635">
              <w:rPr>
                <w:rFonts w:ascii="Open Sans" w:hAnsi="Open Sans" w:cs="Open Sans"/>
                <w:kern w:val="0"/>
                <w:sz w:val="22"/>
                <w:szCs w:val="22"/>
                <w14:ligatures w14:val="none"/>
              </w:rPr>
              <w:t xml:space="preserve">PAG requires that expenditure is </w:t>
            </w:r>
            <w:r w:rsidR="00AA4F6B" w:rsidRPr="00414635">
              <w:rPr>
                <w:rFonts w:ascii="Open Sans" w:hAnsi="Open Sans" w:cs="Open Sans"/>
                <w:kern w:val="0"/>
                <w:sz w:val="22"/>
                <w:szCs w:val="22"/>
                <w14:ligatures w14:val="none"/>
              </w:rPr>
              <w:t xml:space="preserve">classified </w:t>
            </w:r>
            <w:r w:rsidR="006F2CBD" w:rsidRPr="00414635">
              <w:rPr>
                <w:rFonts w:ascii="Open Sans" w:hAnsi="Open Sans" w:cs="Open Sans"/>
                <w:kern w:val="0"/>
                <w:sz w:val="22"/>
                <w:szCs w:val="22"/>
                <w14:ligatures w14:val="none"/>
              </w:rPr>
              <w:t>based on its nature or function and not</w:t>
            </w:r>
            <w:r w:rsidR="002F1B7C" w:rsidRPr="00414635">
              <w:rPr>
                <w:rFonts w:ascii="Open Sans" w:hAnsi="Open Sans" w:cs="Open Sans"/>
                <w:kern w:val="0"/>
                <w:sz w:val="22"/>
                <w:szCs w:val="22"/>
                <w14:ligatures w14:val="none"/>
              </w:rPr>
              <w:t xml:space="preserve"> based on budget allocations.</w:t>
            </w:r>
            <w:r w:rsidR="0064406C" w:rsidRPr="00414635">
              <w:rPr>
                <w:rFonts w:ascii="Open Sans" w:hAnsi="Open Sans" w:cs="Open Sans"/>
                <w:kern w:val="0"/>
                <w:sz w:val="22"/>
                <w:szCs w:val="22"/>
                <w14:ligatures w14:val="none"/>
              </w:rPr>
              <w:t xml:space="preserve"> Comparison to budget was </w:t>
            </w:r>
            <w:r w:rsidR="002D42CC" w:rsidRPr="00414635">
              <w:rPr>
                <w:rFonts w:ascii="Open Sans" w:hAnsi="Open Sans" w:cs="Open Sans"/>
                <w:kern w:val="0"/>
                <w:sz w:val="22"/>
                <w:szCs w:val="22"/>
                <w14:ligatures w14:val="none"/>
              </w:rPr>
              <w:t xml:space="preserve">considered  </w:t>
            </w:r>
            <w:r w:rsidR="0064406C" w:rsidRPr="00414635">
              <w:rPr>
                <w:rFonts w:ascii="Open Sans" w:hAnsi="Open Sans" w:cs="Open Sans"/>
                <w:kern w:val="0"/>
                <w:sz w:val="22"/>
                <w:szCs w:val="22"/>
                <w14:ligatures w14:val="none"/>
              </w:rPr>
              <w:t>by the project’s Technical Advisory Group</w:t>
            </w:r>
            <w:r w:rsidR="00AA4F6B" w:rsidRPr="00414635">
              <w:rPr>
                <w:rFonts w:ascii="Open Sans" w:hAnsi="Open Sans" w:cs="Open Sans"/>
                <w:kern w:val="0"/>
                <w:sz w:val="22"/>
                <w:szCs w:val="22"/>
                <w14:ligatures w14:val="none"/>
              </w:rPr>
              <w:t>.</w:t>
            </w:r>
            <w:r w:rsidR="0064406C" w:rsidRPr="00414635">
              <w:rPr>
                <w:rFonts w:ascii="Open Sans" w:hAnsi="Open Sans" w:cs="Open Sans"/>
                <w:kern w:val="0"/>
                <w:sz w:val="22"/>
                <w:szCs w:val="22"/>
                <w14:ligatures w14:val="none"/>
              </w:rPr>
              <w:t xml:space="preserve"> </w:t>
            </w:r>
            <w:r w:rsidR="002D42CC" w:rsidRPr="00414635">
              <w:rPr>
                <w:rFonts w:ascii="Open Sans" w:hAnsi="Open Sans" w:cs="Open Sans"/>
                <w:kern w:val="0"/>
                <w:sz w:val="22"/>
                <w:szCs w:val="22"/>
                <w14:ligatures w14:val="none"/>
              </w:rPr>
              <w:t>A comparison to budget could be included in the narrative report</w:t>
            </w:r>
            <w:r w:rsidR="002F1B7C" w:rsidRPr="00414635">
              <w:rPr>
                <w:rFonts w:ascii="Open Sans" w:hAnsi="Open Sans" w:cs="Open Sans"/>
                <w:kern w:val="0"/>
                <w:sz w:val="22"/>
                <w:szCs w:val="22"/>
                <w14:ligatures w14:val="none"/>
              </w:rPr>
              <w:t xml:space="preserve"> but is not required in the financial statements</w:t>
            </w:r>
            <w:r w:rsidR="007B3882" w:rsidRPr="00414635">
              <w:rPr>
                <w:rFonts w:ascii="Open Sans" w:hAnsi="Open Sans" w:cs="Open Sans"/>
                <w:kern w:val="0"/>
                <w:sz w:val="22"/>
                <w:szCs w:val="22"/>
                <w14:ligatures w14:val="none"/>
              </w:rPr>
              <w:t>.  No further budget related issues have been raise</w:t>
            </w:r>
            <w:r w:rsidR="00175AE4" w:rsidRPr="00414635">
              <w:rPr>
                <w:rFonts w:ascii="Open Sans" w:hAnsi="Open Sans" w:cs="Open Sans"/>
                <w:kern w:val="0"/>
                <w:sz w:val="22"/>
                <w:szCs w:val="22"/>
                <w14:ligatures w14:val="none"/>
              </w:rPr>
              <w:t>d in the development of the proposals in ED3.</w:t>
            </w:r>
          </w:p>
          <w:p w14:paraId="542F56BD" w14:textId="1EDE251F" w:rsidR="0064406C" w:rsidRPr="00414635" w:rsidRDefault="0064406C" w:rsidP="00804089">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2CCC520E"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549C77A0" w14:textId="6D74D63B" w:rsidR="00E41474" w:rsidRPr="00414635" w:rsidRDefault="00E41474" w:rsidP="00E41474">
            <w:pPr>
              <w:pStyle w:val="xmsolistparagraph"/>
              <w:shd w:val="clear" w:color="auto" w:fill="FFFFFF"/>
              <w:spacing w:before="0" w:beforeAutospacing="0" w:after="0" w:afterAutospacing="0"/>
              <w:rPr>
                <w:rFonts w:ascii="Open Sans" w:eastAsiaTheme="minorHAnsi" w:hAnsi="Open Sans" w:cs="Open Sans"/>
                <w:b w:val="0"/>
                <w:bCs w:val="0"/>
                <w:sz w:val="22"/>
                <w:szCs w:val="22"/>
                <w:lang w:eastAsia="en-US"/>
              </w:rPr>
            </w:pPr>
            <w:r w:rsidRPr="00414635">
              <w:rPr>
                <w:rFonts w:ascii="Open Sans" w:eastAsiaTheme="minorHAnsi" w:hAnsi="Open Sans" w:cs="Open Sans"/>
                <w:b w:val="0"/>
                <w:bCs w:val="0"/>
                <w:sz w:val="22"/>
                <w:szCs w:val="22"/>
                <w:lang w:eastAsia="en-US"/>
              </w:rPr>
              <w:t>Will this treatment of grant-funded assets be retrospective? I'm thinking too of assets purchased by a fund but not capitalised.</w:t>
            </w:r>
          </w:p>
        </w:tc>
        <w:tc>
          <w:tcPr>
            <w:tcW w:w="5387" w:type="dxa"/>
          </w:tcPr>
          <w:p w14:paraId="38198AF5" w14:textId="7ECCF6FF" w:rsidR="00E41474" w:rsidRPr="00414635" w:rsidRDefault="002316E6"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INPAG requires that historic accumulated funds are split between funds with restrictions and funds without restrictions</w:t>
            </w:r>
            <w:r w:rsidR="00FE39FB" w:rsidRPr="00414635">
              <w:rPr>
                <w:rFonts w:ascii="Open Sans" w:hAnsi="Open Sans" w:cs="Open Sans"/>
                <w:kern w:val="0"/>
                <w:sz w:val="22"/>
                <w:szCs w:val="22"/>
                <w14:ligatures w14:val="none"/>
              </w:rPr>
              <w:t xml:space="preserve"> on first time adoption</w:t>
            </w:r>
            <w:r w:rsidRPr="00414635">
              <w:rPr>
                <w:rFonts w:ascii="Open Sans" w:hAnsi="Open Sans" w:cs="Open Sans"/>
                <w:kern w:val="0"/>
                <w:sz w:val="22"/>
                <w:szCs w:val="22"/>
                <w14:ligatures w14:val="none"/>
              </w:rPr>
              <w:t>.</w:t>
            </w:r>
            <w:r w:rsidR="00E62E7E" w:rsidRPr="00414635">
              <w:rPr>
                <w:rFonts w:ascii="Open Sans" w:hAnsi="Open Sans" w:cs="Open Sans"/>
                <w:kern w:val="0"/>
                <w:sz w:val="22"/>
                <w:szCs w:val="22"/>
                <w14:ligatures w14:val="none"/>
              </w:rPr>
              <w:t xml:space="preserve"> </w:t>
            </w:r>
            <w:r w:rsidR="00B8618B" w:rsidRPr="00414635">
              <w:rPr>
                <w:rFonts w:ascii="Open Sans" w:hAnsi="Open Sans" w:cs="Open Sans"/>
                <w:kern w:val="0"/>
                <w:sz w:val="22"/>
                <w:szCs w:val="22"/>
                <w14:ligatures w14:val="none"/>
              </w:rPr>
              <w:t xml:space="preserve">Subject to materiality considerations, this </w:t>
            </w:r>
            <w:r w:rsidR="00E41474" w:rsidRPr="00414635">
              <w:rPr>
                <w:rFonts w:ascii="Open Sans" w:hAnsi="Open Sans" w:cs="Open Sans"/>
                <w:kern w:val="0"/>
                <w:sz w:val="22"/>
                <w:szCs w:val="22"/>
                <w14:ligatures w14:val="none"/>
              </w:rPr>
              <w:t>would mean that grant funded asset</w:t>
            </w:r>
            <w:r w:rsidR="00B8618B" w:rsidRPr="00414635">
              <w:rPr>
                <w:rFonts w:ascii="Open Sans" w:hAnsi="Open Sans" w:cs="Open Sans"/>
                <w:kern w:val="0"/>
                <w:sz w:val="22"/>
                <w:szCs w:val="22"/>
                <w14:ligatures w14:val="none"/>
              </w:rPr>
              <w:t>s</w:t>
            </w:r>
            <w:r w:rsidR="00E41474" w:rsidRPr="00414635">
              <w:rPr>
                <w:rFonts w:ascii="Open Sans" w:hAnsi="Open Sans" w:cs="Open Sans"/>
                <w:kern w:val="0"/>
                <w:sz w:val="22"/>
                <w:szCs w:val="22"/>
                <w14:ligatures w14:val="none"/>
              </w:rPr>
              <w:t xml:space="preserve"> </w:t>
            </w:r>
            <w:r w:rsidR="00B8618B" w:rsidRPr="00414635">
              <w:rPr>
                <w:rFonts w:ascii="Open Sans" w:hAnsi="Open Sans" w:cs="Open Sans"/>
                <w:kern w:val="0"/>
                <w:sz w:val="22"/>
                <w:szCs w:val="22"/>
                <w14:ligatures w14:val="none"/>
              </w:rPr>
              <w:t>that are</w:t>
            </w:r>
            <w:r w:rsidR="00E41474" w:rsidRPr="00414635">
              <w:rPr>
                <w:rFonts w:ascii="Open Sans" w:hAnsi="Open Sans" w:cs="Open Sans"/>
                <w:kern w:val="0"/>
                <w:sz w:val="22"/>
                <w:szCs w:val="22"/>
                <w14:ligatures w14:val="none"/>
              </w:rPr>
              <w:t xml:space="preserve"> part of a restricted fund would need to be retrospective</w:t>
            </w:r>
            <w:r w:rsidR="009E3A46" w:rsidRPr="00414635">
              <w:rPr>
                <w:rFonts w:ascii="Open Sans" w:hAnsi="Open Sans" w:cs="Open Sans"/>
                <w:kern w:val="0"/>
                <w:sz w:val="22"/>
                <w:szCs w:val="22"/>
                <w14:ligatures w14:val="none"/>
              </w:rPr>
              <w:t xml:space="preserve">ly recorded </w:t>
            </w:r>
            <w:r w:rsidR="0024145D" w:rsidRPr="00414635">
              <w:rPr>
                <w:rFonts w:ascii="Open Sans" w:hAnsi="Open Sans" w:cs="Open Sans"/>
                <w:kern w:val="0"/>
                <w:sz w:val="22"/>
                <w:szCs w:val="22"/>
                <w14:ligatures w14:val="none"/>
              </w:rPr>
              <w:t xml:space="preserve">as an asset </w:t>
            </w:r>
            <w:r w:rsidR="009E3A46" w:rsidRPr="00414635">
              <w:rPr>
                <w:rFonts w:ascii="Open Sans" w:hAnsi="Open Sans" w:cs="Open Sans"/>
                <w:kern w:val="0"/>
                <w:sz w:val="22"/>
                <w:szCs w:val="22"/>
                <w14:ligatures w14:val="none"/>
              </w:rPr>
              <w:t>against the relevant fund</w:t>
            </w:r>
            <w:r w:rsidR="00735976" w:rsidRPr="00414635">
              <w:rPr>
                <w:rFonts w:ascii="Open Sans" w:hAnsi="Open Sans" w:cs="Open Sans"/>
                <w:kern w:val="0"/>
                <w:sz w:val="22"/>
                <w:szCs w:val="22"/>
                <w14:ligatures w14:val="none"/>
              </w:rPr>
              <w:t>.</w:t>
            </w:r>
          </w:p>
          <w:p w14:paraId="11A61DA7" w14:textId="7DBCE815" w:rsidR="0053418B" w:rsidRPr="00414635" w:rsidRDefault="0053418B" w:rsidP="00F2703B">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1544D725"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24550D16" w14:textId="77777777" w:rsidR="00E41474" w:rsidRPr="00414635" w:rsidRDefault="00E41474" w:rsidP="00E41474">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Fundraising costs could be similar to commission payments /payable in IFRS17. Maybe something to explore (without the complexity of IFRS 17).</w:t>
            </w:r>
          </w:p>
          <w:p w14:paraId="57465475" w14:textId="77777777" w:rsidR="00E41474" w:rsidRPr="00414635" w:rsidRDefault="00E41474" w:rsidP="00E41474">
            <w:pPr>
              <w:rPr>
                <w:rFonts w:ascii="Open Sans" w:hAnsi="Open Sans" w:cs="Open Sans"/>
                <w:b w:val="0"/>
                <w:bCs w:val="0"/>
                <w:kern w:val="0"/>
                <w:sz w:val="22"/>
                <w:szCs w:val="22"/>
                <w14:ligatures w14:val="none"/>
              </w:rPr>
            </w:pPr>
          </w:p>
        </w:tc>
        <w:tc>
          <w:tcPr>
            <w:tcW w:w="5387" w:type="dxa"/>
          </w:tcPr>
          <w:p w14:paraId="6DE3D17E" w14:textId="182C931E" w:rsidR="00E41474"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The proposals for fundraising costs in Exposure Draft 3 </w:t>
            </w:r>
            <w:r w:rsidR="00891223" w:rsidRPr="00414635">
              <w:rPr>
                <w:rFonts w:ascii="Open Sans" w:hAnsi="Open Sans" w:cs="Open Sans"/>
                <w:kern w:val="0"/>
                <w:sz w:val="22"/>
                <w:szCs w:val="22"/>
                <w14:ligatures w14:val="none"/>
              </w:rPr>
              <w:t xml:space="preserve">incorporate </w:t>
            </w:r>
            <w:r w:rsidRPr="00414635">
              <w:rPr>
                <w:rFonts w:ascii="Open Sans" w:hAnsi="Open Sans" w:cs="Open Sans"/>
                <w:kern w:val="0"/>
                <w:sz w:val="22"/>
                <w:szCs w:val="22"/>
                <w14:ligatures w14:val="none"/>
              </w:rPr>
              <w:t>investment management costs such as the costs of administration and portfolio management. The proposals include this activity as fundraising costs particularly to address circumstances where an NPO has large funds</w:t>
            </w:r>
          </w:p>
          <w:p w14:paraId="0BB38E3F" w14:textId="1242FC27" w:rsidR="00E41474" w:rsidRPr="00414635" w:rsidRDefault="00E41474" w:rsidP="00C812C2">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such as endowments that need to be effectively managed to generate income for an NPO to apply to its missional purposes. IFRS 17 </w:t>
            </w:r>
            <w:r w:rsidRPr="00414635">
              <w:rPr>
                <w:rFonts w:ascii="Open Sans" w:hAnsi="Open Sans" w:cs="Open Sans"/>
                <w:i/>
                <w:iCs/>
                <w:kern w:val="0"/>
                <w:sz w:val="22"/>
                <w:szCs w:val="22"/>
                <w14:ligatures w14:val="none"/>
              </w:rPr>
              <w:t>Insurance Contracts</w:t>
            </w:r>
            <w:r w:rsidRPr="00414635">
              <w:rPr>
                <w:rFonts w:ascii="Open Sans" w:hAnsi="Open Sans" w:cs="Open Sans"/>
                <w:kern w:val="0"/>
                <w:sz w:val="22"/>
                <w:szCs w:val="22"/>
                <w14:ligatures w14:val="none"/>
              </w:rPr>
              <w:t xml:space="preserve"> differs from this approach as it seeks to define those cashflows within the insurance contract boundary including policy administration costs. </w:t>
            </w:r>
          </w:p>
          <w:p w14:paraId="4022E1FF" w14:textId="71D55ACE" w:rsidR="00956051" w:rsidRPr="00414635" w:rsidRDefault="00956051" w:rsidP="00C812C2">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6E70CBAC"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3574BA61" w14:textId="0D566CDD" w:rsidR="00E41474" w:rsidRPr="00414635" w:rsidRDefault="00E41474" w:rsidP="00E41474">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Where there are different policies on asset recognition from different funders. In that case, how the assets will be recognized in the financial statements as per INPAG? For example, some donors' asset threshold is US$ 5,000, some others have $500 or more or less. Does this need any disclosure in FS?</w:t>
            </w:r>
          </w:p>
        </w:tc>
        <w:tc>
          <w:tcPr>
            <w:tcW w:w="5387" w:type="dxa"/>
          </w:tcPr>
          <w:p w14:paraId="2D1233AC" w14:textId="77777777" w:rsidR="00611358"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Items will need to be recognised as assets when they meet the recognition criteria of the relevant section of INPAG</w:t>
            </w:r>
            <w:r w:rsidR="009E5C30" w:rsidRPr="00414635">
              <w:rPr>
                <w:rFonts w:ascii="Open Sans" w:hAnsi="Open Sans" w:cs="Open Sans"/>
                <w:kern w:val="0"/>
                <w:sz w:val="22"/>
                <w:szCs w:val="22"/>
                <w14:ligatures w14:val="none"/>
              </w:rPr>
              <w:t>:</w:t>
            </w:r>
            <w:r w:rsidRPr="00414635">
              <w:rPr>
                <w:rFonts w:ascii="Open Sans" w:hAnsi="Open Sans" w:cs="Open Sans"/>
                <w:kern w:val="0"/>
                <w:sz w:val="22"/>
                <w:szCs w:val="22"/>
                <w14:ligatures w14:val="none"/>
              </w:rPr>
              <w:t xml:space="preserve"> </w:t>
            </w:r>
          </w:p>
          <w:p w14:paraId="127F3C16" w14:textId="6F60495E" w:rsidR="00611358" w:rsidRPr="00414635" w:rsidRDefault="00E41474" w:rsidP="005468CE">
            <w:pPr>
              <w:pStyle w:val="ListParagraph"/>
              <w:numPr>
                <w:ilvl w:val="0"/>
                <w:numId w:val="2"/>
              </w:numPr>
              <w:ind w:left="458" w:hanging="425"/>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Section 16, Investment </w:t>
            </w:r>
            <w:r w:rsidR="003E78A9" w:rsidRPr="00414635">
              <w:rPr>
                <w:rFonts w:ascii="Open Sans" w:hAnsi="Open Sans" w:cs="Open Sans"/>
                <w:kern w:val="0"/>
                <w:sz w:val="22"/>
                <w:szCs w:val="22"/>
                <w14:ligatures w14:val="none"/>
              </w:rPr>
              <w:t>p</w:t>
            </w:r>
            <w:r w:rsidRPr="00414635">
              <w:rPr>
                <w:rFonts w:ascii="Open Sans" w:hAnsi="Open Sans" w:cs="Open Sans"/>
                <w:kern w:val="0"/>
                <w:sz w:val="22"/>
                <w:szCs w:val="22"/>
                <w14:ligatures w14:val="none"/>
              </w:rPr>
              <w:t xml:space="preserve">roperty; </w:t>
            </w:r>
          </w:p>
          <w:p w14:paraId="4CD47FFC" w14:textId="47BB07DD" w:rsidR="005468CE" w:rsidRPr="00414635" w:rsidRDefault="00E41474" w:rsidP="005468CE">
            <w:pPr>
              <w:pStyle w:val="ListParagraph"/>
              <w:numPr>
                <w:ilvl w:val="0"/>
                <w:numId w:val="2"/>
              </w:numPr>
              <w:ind w:left="458" w:hanging="425"/>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Section 17</w:t>
            </w:r>
            <w:r w:rsidR="00C812C2" w:rsidRPr="00414635">
              <w:rPr>
                <w:rFonts w:ascii="Open Sans" w:hAnsi="Open Sans" w:cs="Open Sans"/>
                <w:kern w:val="0"/>
                <w:sz w:val="22"/>
                <w:szCs w:val="22"/>
                <w14:ligatures w14:val="none"/>
              </w:rPr>
              <w:t>,</w:t>
            </w:r>
            <w:r w:rsidRPr="00414635">
              <w:rPr>
                <w:rFonts w:ascii="Open Sans" w:hAnsi="Open Sans" w:cs="Open Sans"/>
                <w:kern w:val="0"/>
                <w:sz w:val="22"/>
                <w:szCs w:val="22"/>
                <w14:ligatures w14:val="none"/>
              </w:rPr>
              <w:t xml:space="preserve"> Property, </w:t>
            </w:r>
            <w:r w:rsidR="003E78A9" w:rsidRPr="00414635">
              <w:rPr>
                <w:rFonts w:ascii="Open Sans" w:hAnsi="Open Sans" w:cs="Open Sans"/>
                <w:kern w:val="0"/>
                <w:sz w:val="22"/>
                <w:szCs w:val="22"/>
                <w14:ligatures w14:val="none"/>
              </w:rPr>
              <w:t>p</w:t>
            </w:r>
            <w:r w:rsidRPr="00414635">
              <w:rPr>
                <w:rFonts w:ascii="Open Sans" w:hAnsi="Open Sans" w:cs="Open Sans"/>
                <w:kern w:val="0"/>
                <w:sz w:val="22"/>
                <w:szCs w:val="22"/>
                <w14:ligatures w14:val="none"/>
              </w:rPr>
              <w:t xml:space="preserve">lant and </w:t>
            </w:r>
            <w:r w:rsidR="003E78A9" w:rsidRPr="00414635">
              <w:rPr>
                <w:rFonts w:ascii="Open Sans" w:hAnsi="Open Sans" w:cs="Open Sans"/>
                <w:kern w:val="0"/>
                <w:sz w:val="22"/>
                <w:szCs w:val="22"/>
                <w14:ligatures w14:val="none"/>
              </w:rPr>
              <w:t>e</w:t>
            </w:r>
            <w:r w:rsidRPr="00414635">
              <w:rPr>
                <w:rFonts w:ascii="Open Sans" w:hAnsi="Open Sans" w:cs="Open Sans"/>
                <w:kern w:val="0"/>
                <w:sz w:val="22"/>
                <w:szCs w:val="22"/>
                <w14:ligatures w14:val="none"/>
              </w:rPr>
              <w:t>quipment</w:t>
            </w:r>
            <w:r w:rsidR="00C812C2" w:rsidRPr="00414635">
              <w:rPr>
                <w:rFonts w:ascii="Open Sans" w:hAnsi="Open Sans" w:cs="Open Sans"/>
                <w:kern w:val="0"/>
                <w:sz w:val="22"/>
                <w:szCs w:val="22"/>
                <w14:ligatures w14:val="none"/>
              </w:rPr>
              <w:t>;</w:t>
            </w:r>
            <w:r w:rsidRPr="00414635">
              <w:rPr>
                <w:rFonts w:ascii="Open Sans" w:hAnsi="Open Sans" w:cs="Open Sans"/>
                <w:kern w:val="0"/>
                <w:sz w:val="22"/>
                <w:szCs w:val="22"/>
                <w14:ligatures w14:val="none"/>
              </w:rPr>
              <w:t xml:space="preserve"> and </w:t>
            </w:r>
          </w:p>
          <w:p w14:paraId="5A2DC153" w14:textId="48B1619F" w:rsidR="00C812C2" w:rsidRPr="00414635" w:rsidRDefault="005468CE" w:rsidP="00E41474">
            <w:pPr>
              <w:pStyle w:val="ListParagraph"/>
              <w:numPr>
                <w:ilvl w:val="0"/>
                <w:numId w:val="2"/>
              </w:numPr>
              <w:ind w:left="458" w:hanging="425"/>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S</w:t>
            </w:r>
            <w:r w:rsidR="00E41474" w:rsidRPr="00414635">
              <w:rPr>
                <w:rFonts w:ascii="Open Sans" w:hAnsi="Open Sans" w:cs="Open Sans"/>
                <w:kern w:val="0"/>
                <w:sz w:val="22"/>
                <w:szCs w:val="22"/>
                <w14:ligatures w14:val="none"/>
              </w:rPr>
              <w:t>ection 18</w:t>
            </w:r>
            <w:r w:rsidR="003E78A9" w:rsidRPr="00414635">
              <w:rPr>
                <w:rFonts w:ascii="Open Sans" w:hAnsi="Open Sans" w:cs="Open Sans"/>
                <w:kern w:val="0"/>
                <w:sz w:val="22"/>
                <w:szCs w:val="22"/>
                <w14:ligatures w14:val="none"/>
              </w:rPr>
              <w:t>,</w:t>
            </w:r>
            <w:r w:rsidR="00E41474" w:rsidRPr="00414635">
              <w:rPr>
                <w:rFonts w:ascii="Open Sans" w:hAnsi="Open Sans" w:cs="Open Sans"/>
                <w:kern w:val="0"/>
                <w:sz w:val="22"/>
                <w:szCs w:val="22"/>
                <w14:ligatures w14:val="none"/>
              </w:rPr>
              <w:t xml:space="preserve"> Intangible </w:t>
            </w:r>
            <w:r w:rsidR="003E78A9" w:rsidRPr="00414635">
              <w:rPr>
                <w:rFonts w:ascii="Open Sans" w:hAnsi="Open Sans" w:cs="Open Sans"/>
                <w:kern w:val="0"/>
                <w:sz w:val="22"/>
                <w:szCs w:val="22"/>
                <w14:ligatures w14:val="none"/>
              </w:rPr>
              <w:t>a</w:t>
            </w:r>
            <w:r w:rsidR="00E41474" w:rsidRPr="00414635">
              <w:rPr>
                <w:rFonts w:ascii="Open Sans" w:hAnsi="Open Sans" w:cs="Open Sans"/>
                <w:kern w:val="0"/>
                <w:sz w:val="22"/>
                <w:szCs w:val="22"/>
                <w14:ligatures w14:val="none"/>
              </w:rPr>
              <w:t xml:space="preserve">ssets </w:t>
            </w:r>
            <w:r w:rsidR="003E78A9" w:rsidRPr="00414635">
              <w:rPr>
                <w:rFonts w:ascii="Open Sans" w:hAnsi="Open Sans" w:cs="Open Sans"/>
                <w:kern w:val="0"/>
                <w:sz w:val="22"/>
                <w:szCs w:val="22"/>
                <w14:ligatures w14:val="none"/>
              </w:rPr>
              <w:t>o</w:t>
            </w:r>
            <w:r w:rsidR="00E41474" w:rsidRPr="00414635">
              <w:rPr>
                <w:rFonts w:ascii="Open Sans" w:hAnsi="Open Sans" w:cs="Open Sans"/>
                <w:kern w:val="0"/>
                <w:sz w:val="22"/>
                <w:szCs w:val="22"/>
                <w14:ligatures w14:val="none"/>
              </w:rPr>
              <w:t xml:space="preserve">ther than </w:t>
            </w:r>
            <w:r w:rsidR="003E78A9" w:rsidRPr="00414635">
              <w:rPr>
                <w:rFonts w:ascii="Open Sans" w:hAnsi="Open Sans" w:cs="Open Sans"/>
                <w:kern w:val="0"/>
                <w:sz w:val="22"/>
                <w:szCs w:val="22"/>
                <w14:ligatures w14:val="none"/>
              </w:rPr>
              <w:t>g</w:t>
            </w:r>
            <w:r w:rsidR="00E41474" w:rsidRPr="00414635">
              <w:rPr>
                <w:rFonts w:ascii="Open Sans" w:hAnsi="Open Sans" w:cs="Open Sans"/>
                <w:kern w:val="0"/>
                <w:sz w:val="22"/>
                <w:szCs w:val="22"/>
                <w14:ligatures w14:val="none"/>
              </w:rPr>
              <w:t>oodwill.</w:t>
            </w:r>
          </w:p>
          <w:p w14:paraId="12DEFD26" w14:textId="77777777" w:rsidR="0089258B" w:rsidRPr="00414635" w:rsidRDefault="00E41474" w:rsidP="00C812C2">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NPOs will </w:t>
            </w:r>
            <w:r w:rsidR="00EA7854" w:rsidRPr="00414635">
              <w:rPr>
                <w:rFonts w:ascii="Open Sans" w:hAnsi="Open Sans" w:cs="Open Sans"/>
                <w:kern w:val="0"/>
                <w:sz w:val="22"/>
                <w:szCs w:val="22"/>
                <w14:ligatures w14:val="none"/>
              </w:rPr>
              <w:t>need</w:t>
            </w:r>
            <w:r w:rsidRPr="00414635">
              <w:rPr>
                <w:rFonts w:ascii="Open Sans" w:hAnsi="Open Sans" w:cs="Open Sans"/>
                <w:kern w:val="0"/>
                <w:sz w:val="22"/>
                <w:szCs w:val="22"/>
                <w14:ligatures w14:val="none"/>
              </w:rPr>
              <w:t xml:space="preserve"> to take </w:t>
            </w:r>
            <w:r w:rsidR="00EA7854" w:rsidRPr="00414635">
              <w:rPr>
                <w:rFonts w:ascii="Open Sans" w:hAnsi="Open Sans" w:cs="Open Sans"/>
                <w:kern w:val="0"/>
                <w:sz w:val="22"/>
                <w:szCs w:val="22"/>
                <w14:ligatures w14:val="none"/>
              </w:rPr>
              <w:t xml:space="preserve">its own </w:t>
            </w:r>
            <w:r w:rsidRPr="00414635">
              <w:rPr>
                <w:rFonts w:ascii="Open Sans" w:hAnsi="Open Sans" w:cs="Open Sans"/>
                <w:kern w:val="0"/>
                <w:sz w:val="22"/>
                <w:szCs w:val="22"/>
                <w14:ligatures w14:val="none"/>
              </w:rPr>
              <w:t>decisions on materiality</w:t>
            </w:r>
            <w:r w:rsidR="00593C72" w:rsidRPr="00414635">
              <w:rPr>
                <w:rFonts w:ascii="Open Sans" w:hAnsi="Open Sans" w:cs="Open Sans"/>
                <w:kern w:val="0"/>
                <w:sz w:val="22"/>
                <w:szCs w:val="22"/>
                <w14:ligatures w14:val="none"/>
              </w:rPr>
              <w:t xml:space="preserve"> and the threshold for the recognition of assets</w:t>
            </w:r>
            <w:r w:rsidRPr="00414635">
              <w:rPr>
                <w:rFonts w:ascii="Open Sans" w:hAnsi="Open Sans" w:cs="Open Sans"/>
                <w:kern w:val="0"/>
                <w:sz w:val="22"/>
                <w:szCs w:val="22"/>
                <w14:ligatures w14:val="none"/>
              </w:rPr>
              <w:t xml:space="preserve">. Where amounts are not material for the NPO’s financial statements, these transactions may be recognised as </w:t>
            </w:r>
            <w:r w:rsidR="00593C72" w:rsidRPr="00414635">
              <w:rPr>
                <w:rFonts w:ascii="Open Sans" w:hAnsi="Open Sans" w:cs="Open Sans"/>
                <w:kern w:val="0"/>
                <w:sz w:val="22"/>
                <w:szCs w:val="22"/>
                <w14:ligatures w14:val="none"/>
              </w:rPr>
              <w:t xml:space="preserve">an expense </w:t>
            </w:r>
            <w:r w:rsidRPr="00414635">
              <w:rPr>
                <w:rFonts w:ascii="Open Sans" w:hAnsi="Open Sans" w:cs="Open Sans"/>
                <w:kern w:val="0"/>
                <w:sz w:val="22"/>
                <w:szCs w:val="22"/>
                <w14:ligatures w14:val="none"/>
              </w:rPr>
              <w:t xml:space="preserve">in the financial statements. </w:t>
            </w:r>
          </w:p>
          <w:p w14:paraId="4B7878D3" w14:textId="7DA3E040" w:rsidR="00BF1641" w:rsidRPr="00414635" w:rsidRDefault="001C4209" w:rsidP="00C812C2">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The threshold determined by an NPO may mean that </w:t>
            </w:r>
            <w:r w:rsidR="00164525" w:rsidRPr="00414635">
              <w:rPr>
                <w:rFonts w:ascii="Open Sans" w:hAnsi="Open Sans" w:cs="Open Sans"/>
                <w:kern w:val="0"/>
                <w:sz w:val="22"/>
                <w:szCs w:val="22"/>
                <w14:ligatures w14:val="none"/>
              </w:rPr>
              <w:t xml:space="preserve">some assets </w:t>
            </w:r>
            <w:r w:rsidR="00081593" w:rsidRPr="00414635">
              <w:rPr>
                <w:rFonts w:ascii="Open Sans" w:hAnsi="Open Sans" w:cs="Open Sans"/>
                <w:kern w:val="0"/>
                <w:sz w:val="22"/>
                <w:szCs w:val="22"/>
                <w14:ligatures w14:val="none"/>
              </w:rPr>
              <w:t xml:space="preserve">that are below a donor’s threshold are recognised in the financial statements.  </w:t>
            </w:r>
            <w:r w:rsidR="00BF1641" w:rsidRPr="00414635">
              <w:rPr>
                <w:rFonts w:ascii="Open Sans" w:hAnsi="Open Sans" w:cs="Open Sans"/>
                <w:kern w:val="0"/>
                <w:sz w:val="22"/>
                <w:szCs w:val="22"/>
                <w14:ligatures w14:val="none"/>
              </w:rPr>
              <w:t>This does not need to be disclosed</w:t>
            </w:r>
            <w:r w:rsidR="006B2434" w:rsidRPr="00414635">
              <w:rPr>
                <w:rFonts w:ascii="Open Sans" w:hAnsi="Open Sans" w:cs="Open Sans"/>
                <w:kern w:val="0"/>
                <w:sz w:val="22"/>
                <w:szCs w:val="22"/>
                <w14:ligatures w14:val="none"/>
              </w:rPr>
              <w:t>.</w:t>
            </w:r>
            <w:r w:rsidR="00BF1641" w:rsidRPr="00414635">
              <w:rPr>
                <w:rFonts w:ascii="Open Sans" w:hAnsi="Open Sans" w:cs="Open Sans"/>
                <w:kern w:val="0"/>
                <w:sz w:val="22"/>
                <w:szCs w:val="22"/>
                <w14:ligatures w14:val="none"/>
              </w:rPr>
              <w:t xml:space="preserve"> </w:t>
            </w:r>
            <w:r w:rsidR="006B2434" w:rsidRPr="00414635">
              <w:rPr>
                <w:rFonts w:ascii="Open Sans" w:hAnsi="Open Sans" w:cs="Open Sans"/>
                <w:kern w:val="0"/>
                <w:sz w:val="22"/>
                <w:szCs w:val="22"/>
                <w14:ligatures w14:val="none"/>
              </w:rPr>
              <w:t>An</w:t>
            </w:r>
            <w:r w:rsidR="00BF1641" w:rsidRPr="00414635">
              <w:rPr>
                <w:rFonts w:ascii="Open Sans" w:hAnsi="Open Sans" w:cs="Open Sans"/>
                <w:kern w:val="0"/>
                <w:sz w:val="22"/>
                <w:szCs w:val="22"/>
                <w14:ligatures w14:val="none"/>
              </w:rPr>
              <w:t xml:space="preserve"> NPO </w:t>
            </w:r>
            <w:r w:rsidR="006B2434" w:rsidRPr="00414635">
              <w:rPr>
                <w:rFonts w:ascii="Open Sans" w:hAnsi="Open Sans" w:cs="Open Sans"/>
                <w:kern w:val="0"/>
                <w:sz w:val="22"/>
                <w:szCs w:val="22"/>
                <w14:ligatures w14:val="none"/>
              </w:rPr>
              <w:t xml:space="preserve">may choose to disclose </w:t>
            </w:r>
            <w:r w:rsidR="00BF1641" w:rsidRPr="00414635">
              <w:rPr>
                <w:rFonts w:ascii="Open Sans" w:hAnsi="Open Sans" w:cs="Open Sans"/>
                <w:kern w:val="0"/>
                <w:sz w:val="22"/>
                <w:szCs w:val="22"/>
                <w14:ligatures w14:val="none"/>
              </w:rPr>
              <w:t xml:space="preserve">such information </w:t>
            </w:r>
            <w:r w:rsidR="006B2434" w:rsidRPr="00414635">
              <w:rPr>
                <w:rFonts w:ascii="Open Sans" w:hAnsi="Open Sans" w:cs="Open Sans"/>
                <w:kern w:val="0"/>
                <w:sz w:val="22"/>
                <w:szCs w:val="22"/>
                <w14:ligatures w14:val="none"/>
              </w:rPr>
              <w:t xml:space="preserve">if in its view it </w:t>
            </w:r>
            <w:r w:rsidR="00BF1641" w:rsidRPr="00414635">
              <w:rPr>
                <w:rFonts w:ascii="Open Sans" w:hAnsi="Open Sans" w:cs="Open Sans"/>
                <w:kern w:val="0"/>
                <w:sz w:val="22"/>
                <w:szCs w:val="22"/>
                <w14:ligatures w14:val="none"/>
              </w:rPr>
              <w:t>would be useful to the primary users of its general purpose financial statements</w:t>
            </w:r>
            <w:r w:rsidR="00E3438C" w:rsidRPr="00414635">
              <w:rPr>
                <w:rFonts w:ascii="Open Sans" w:hAnsi="Open Sans" w:cs="Open Sans"/>
                <w:kern w:val="0"/>
                <w:sz w:val="22"/>
                <w:szCs w:val="22"/>
                <w14:ligatures w14:val="none"/>
              </w:rPr>
              <w:t xml:space="preserve"> and not just an individual donor</w:t>
            </w:r>
            <w:r w:rsidR="00BF1641" w:rsidRPr="00414635">
              <w:rPr>
                <w:rFonts w:ascii="Open Sans" w:hAnsi="Open Sans" w:cs="Open Sans"/>
                <w:kern w:val="0"/>
                <w:sz w:val="22"/>
                <w:szCs w:val="22"/>
                <w14:ligatures w14:val="none"/>
              </w:rPr>
              <w:t>.</w:t>
            </w:r>
          </w:p>
          <w:p w14:paraId="07AD0342" w14:textId="2C873102" w:rsidR="00E41474" w:rsidRPr="00414635" w:rsidRDefault="00BF1641" w:rsidP="00C812C2">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NPO’s can address this difference in threshold</w:t>
            </w:r>
            <w:r w:rsidR="009602F5" w:rsidRPr="00414635">
              <w:rPr>
                <w:rFonts w:ascii="Open Sans" w:hAnsi="Open Sans" w:cs="Open Sans"/>
                <w:kern w:val="0"/>
                <w:sz w:val="22"/>
                <w:szCs w:val="22"/>
                <w14:ligatures w14:val="none"/>
              </w:rPr>
              <w:t>s</w:t>
            </w:r>
            <w:r w:rsidRPr="00414635">
              <w:rPr>
                <w:rFonts w:ascii="Open Sans" w:hAnsi="Open Sans" w:cs="Open Sans"/>
                <w:kern w:val="0"/>
                <w:sz w:val="22"/>
                <w:szCs w:val="22"/>
                <w14:ligatures w14:val="none"/>
              </w:rPr>
              <w:t xml:space="preserve"> through use of the optional section in the Supplementary statement.</w:t>
            </w:r>
          </w:p>
          <w:p w14:paraId="5A1EE62A" w14:textId="6DE1B9DE" w:rsidR="00E41474"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1E21B5D2"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0176816C" w14:textId="0944D88C" w:rsidR="00E41474" w:rsidRPr="00414635" w:rsidRDefault="00E41474" w:rsidP="00E41474">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Some donors require project assets to be donated at the end of the project. These are treated as direct project expense upon purchase. Do we have to capitalize these in the financial statements and record depreciation?</w:t>
            </w:r>
          </w:p>
        </w:tc>
        <w:tc>
          <w:tcPr>
            <w:tcW w:w="5387" w:type="dxa"/>
          </w:tcPr>
          <w:p w14:paraId="23945D25" w14:textId="1FAD6CEA" w:rsidR="00E41474"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If </w:t>
            </w:r>
            <w:r w:rsidR="00AC6715" w:rsidRPr="00414635">
              <w:rPr>
                <w:rFonts w:ascii="Open Sans" w:hAnsi="Open Sans" w:cs="Open Sans"/>
                <w:kern w:val="0"/>
                <w:sz w:val="22"/>
                <w:szCs w:val="22"/>
                <w14:ligatures w14:val="none"/>
              </w:rPr>
              <w:t>the project asset meets the definition of an asset in accordance with the proposals for section 2 Concepts and pervasive principles</w:t>
            </w:r>
            <w:r w:rsidR="00E4414A" w:rsidRPr="00414635">
              <w:rPr>
                <w:rFonts w:ascii="Open Sans" w:hAnsi="Open Sans" w:cs="Open Sans"/>
                <w:kern w:val="0"/>
                <w:sz w:val="22"/>
                <w:szCs w:val="22"/>
                <w14:ligatures w14:val="none"/>
              </w:rPr>
              <w:t>,</w:t>
            </w:r>
            <w:r w:rsidR="00AC6715" w:rsidRPr="00414635">
              <w:rPr>
                <w:rFonts w:ascii="Open Sans" w:hAnsi="Open Sans" w:cs="Open Sans"/>
                <w:kern w:val="0"/>
                <w:sz w:val="22"/>
                <w:szCs w:val="22"/>
                <w14:ligatures w14:val="none"/>
              </w:rPr>
              <w:t xml:space="preserve"> because the </w:t>
            </w:r>
            <w:r w:rsidRPr="00414635">
              <w:rPr>
                <w:rFonts w:ascii="Open Sans" w:hAnsi="Open Sans" w:cs="Open Sans"/>
                <w:kern w:val="0"/>
                <w:sz w:val="22"/>
                <w:szCs w:val="22"/>
                <w14:ligatures w14:val="none"/>
              </w:rPr>
              <w:t xml:space="preserve">NPO controls the economic resources in the asset </w:t>
            </w:r>
            <w:r w:rsidR="00E3189E" w:rsidRPr="00414635">
              <w:rPr>
                <w:rFonts w:ascii="Open Sans" w:hAnsi="Open Sans" w:cs="Open Sans"/>
                <w:kern w:val="0"/>
                <w:sz w:val="22"/>
                <w:szCs w:val="22"/>
                <w14:ligatures w14:val="none"/>
              </w:rPr>
              <w:t xml:space="preserve">as a result </w:t>
            </w:r>
            <w:r w:rsidRPr="00414635">
              <w:rPr>
                <w:rFonts w:ascii="Open Sans" w:hAnsi="Open Sans" w:cs="Open Sans"/>
                <w:kern w:val="0"/>
                <w:sz w:val="22"/>
                <w:szCs w:val="22"/>
                <w14:ligatures w14:val="none"/>
              </w:rPr>
              <w:t xml:space="preserve">of past decisions then </w:t>
            </w:r>
            <w:r w:rsidR="004F54AE" w:rsidRPr="00414635">
              <w:rPr>
                <w:rFonts w:ascii="Open Sans" w:hAnsi="Open Sans" w:cs="Open Sans"/>
                <w:kern w:val="0"/>
                <w:sz w:val="22"/>
                <w:szCs w:val="22"/>
                <w14:ligatures w14:val="none"/>
              </w:rPr>
              <w:t>it</w:t>
            </w:r>
            <w:r w:rsidRPr="00414635">
              <w:rPr>
                <w:rFonts w:ascii="Open Sans" w:hAnsi="Open Sans" w:cs="Open Sans"/>
                <w:kern w:val="0"/>
                <w:sz w:val="22"/>
                <w:szCs w:val="22"/>
                <w14:ligatures w14:val="none"/>
              </w:rPr>
              <w:t xml:space="preserve"> would be </w:t>
            </w:r>
            <w:r w:rsidR="00AC6715" w:rsidRPr="00414635">
              <w:rPr>
                <w:rFonts w:ascii="Open Sans" w:hAnsi="Open Sans" w:cs="Open Sans"/>
                <w:kern w:val="0"/>
                <w:sz w:val="22"/>
                <w:szCs w:val="22"/>
                <w14:ligatures w14:val="none"/>
              </w:rPr>
              <w:t xml:space="preserve">capitalised. It would be </w:t>
            </w:r>
            <w:r w:rsidRPr="00414635">
              <w:rPr>
                <w:rFonts w:ascii="Open Sans" w:hAnsi="Open Sans" w:cs="Open Sans"/>
                <w:kern w:val="0"/>
                <w:sz w:val="22"/>
                <w:szCs w:val="22"/>
                <w14:ligatures w14:val="none"/>
              </w:rPr>
              <w:t>recognised</w:t>
            </w:r>
            <w:r w:rsidR="00AC6715" w:rsidRPr="00414635">
              <w:rPr>
                <w:rFonts w:ascii="Open Sans" w:hAnsi="Open Sans" w:cs="Open Sans"/>
                <w:kern w:val="0"/>
                <w:sz w:val="22"/>
                <w:szCs w:val="22"/>
                <w14:ligatures w14:val="none"/>
              </w:rPr>
              <w:t xml:space="preserve"> as an asset</w:t>
            </w:r>
            <w:r w:rsidRPr="00414635">
              <w:rPr>
                <w:rFonts w:ascii="Open Sans" w:hAnsi="Open Sans" w:cs="Open Sans"/>
                <w:kern w:val="0"/>
                <w:sz w:val="22"/>
                <w:szCs w:val="22"/>
                <w14:ligatures w14:val="none"/>
              </w:rPr>
              <w:t xml:space="preserve"> in the financial statements and depreciated or amortised as necessary.</w:t>
            </w:r>
            <w:r w:rsidR="006644AE" w:rsidRPr="00414635">
              <w:rPr>
                <w:rFonts w:ascii="Open Sans" w:hAnsi="Open Sans" w:cs="Open Sans"/>
                <w:kern w:val="0"/>
                <w:sz w:val="22"/>
                <w:szCs w:val="22"/>
                <w14:ligatures w14:val="none"/>
              </w:rPr>
              <w:t xml:space="preserve"> </w:t>
            </w:r>
          </w:p>
          <w:p w14:paraId="6C8AAA72" w14:textId="6FC77416" w:rsidR="00E41474"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Where these assets are subsequently donated at the end of the project they would be derecognised. </w:t>
            </w:r>
          </w:p>
          <w:p w14:paraId="3A4FB00D" w14:textId="183A2B22" w:rsidR="00E41474"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E41474" w:rsidRPr="00414635" w14:paraId="3CF5E118" w14:textId="77777777" w:rsidTr="00516AEF">
        <w:tc>
          <w:tcPr>
            <w:cnfStyle w:val="001000000000" w:firstRow="0" w:lastRow="0" w:firstColumn="1" w:lastColumn="0" w:oddVBand="0" w:evenVBand="0" w:oddHBand="0" w:evenHBand="0" w:firstRowFirstColumn="0" w:firstRowLastColumn="0" w:lastRowFirstColumn="0" w:lastRowLastColumn="0"/>
            <w:tcW w:w="4106" w:type="dxa"/>
          </w:tcPr>
          <w:p w14:paraId="4ACD6813" w14:textId="741FE46E" w:rsidR="00E41474" w:rsidRPr="00414635" w:rsidRDefault="00E41474" w:rsidP="00E41474">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I would like to ask question in regards to section 33 about related parties, in my opinion it has focused more on individual parties, what about related parties with regard to organizations such as sub grantees or even major donors? [It] would be more fair to show the transactions in regard to revenue and expenses incurred with related parties organisation together with showing up the nature of the transactions during the year.</w:t>
            </w:r>
          </w:p>
        </w:tc>
        <w:tc>
          <w:tcPr>
            <w:tcW w:w="5387" w:type="dxa"/>
          </w:tcPr>
          <w:p w14:paraId="4BF8F7D9" w14:textId="77777777" w:rsidR="0052309B" w:rsidRPr="00414635" w:rsidRDefault="00E41474"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ED3 </w:t>
            </w:r>
            <w:r w:rsidR="002171C7" w:rsidRPr="00414635">
              <w:rPr>
                <w:rFonts w:ascii="Open Sans" w:hAnsi="Open Sans" w:cs="Open Sans"/>
                <w:kern w:val="0"/>
                <w:sz w:val="22"/>
                <w:szCs w:val="22"/>
                <w14:ligatures w14:val="none"/>
              </w:rPr>
              <w:t xml:space="preserve">of INPAG </w:t>
            </w:r>
            <w:r w:rsidRPr="00414635">
              <w:rPr>
                <w:rFonts w:ascii="Open Sans" w:hAnsi="Open Sans" w:cs="Open Sans"/>
                <w:kern w:val="0"/>
                <w:sz w:val="22"/>
                <w:szCs w:val="22"/>
                <w14:ligatures w14:val="none"/>
              </w:rPr>
              <w:t xml:space="preserve">paragraph G33.4 clarifies, that a customer, grant provider, supplier, franchisor, distributor or general agent with whom an NPO transacts a significant volume of business </w:t>
            </w:r>
            <w:r w:rsidR="00DB57EE" w:rsidRPr="00414635">
              <w:rPr>
                <w:rFonts w:ascii="Open Sans" w:hAnsi="Open Sans" w:cs="Open Sans"/>
                <w:kern w:val="0"/>
                <w:sz w:val="22"/>
                <w:szCs w:val="22"/>
                <w14:ligatures w14:val="none"/>
              </w:rPr>
              <w:t xml:space="preserve">is </w:t>
            </w:r>
            <w:r w:rsidRPr="00414635">
              <w:rPr>
                <w:rFonts w:ascii="Open Sans" w:hAnsi="Open Sans" w:cs="Open Sans"/>
                <w:kern w:val="0"/>
                <w:sz w:val="22"/>
                <w:szCs w:val="22"/>
                <w14:ligatures w14:val="none"/>
              </w:rPr>
              <w:t xml:space="preserve">not necessarily </w:t>
            </w:r>
            <w:r w:rsidR="00DB57EE" w:rsidRPr="00414635">
              <w:rPr>
                <w:rFonts w:ascii="Open Sans" w:hAnsi="Open Sans" w:cs="Open Sans"/>
                <w:kern w:val="0"/>
                <w:sz w:val="22"/>
                <w:szCs w:val="22"/>
                <w14:ligatures w14:val="none"/>
              </w:rPr>
              <w:t xml:space="preserve">a </w:t>
            </w:r>
            <w:r w:rsidRPr="00414635">
              <w:rPr>
                <w:rFonts w:ascii="Open Sans" w:hAnsi="Open Sans" w:cs="Open Sans"/>
                <w:kern w:val="0"/>
                <w:sz w:val="22"/>
                <w:szCs w:val="22"/>
                <w14:ligatures w14:val="none"/>
              </w:rPr>
              <w:t>related part</w:t>
            </w:r>
            <w:r w:rsidR="00BE6AC4" w:rsidRPr="00414635">
              <w:rPr>
                <w:rFonts w:ascii="Open Sans" w:hAnsi="Open Sans" w:cs="Open Sans"/>
                <w:kern w:val="0"/>
                <w:sz w:val="22"/>
                <w:szCs w:val="22"/>
                <w14:ligatures w14:val="none"/>
              </w:rPr>
              <w:t>y</w:t>
            </w:r>
            <w:r w:rsidRPr="00414635">
              <w:rPr>
                <w:rFonts w:ascii="Open Sans" w:hAnsi="Open Sans" w:cs="Open Sans"/>
                <w:kern w:val="0"/>
                <w:sz w:val="22"/>
                <w:szCs w:val="22"/>
                <w14:ligatures w14:val="none"/>
              </w:rPr>
              <w:t xml:space="preserve">, merely by virtue of the resulting economic dependence. This follows the approach in the </w:t>
            </w:r>
            <w:r w:rsidRPr="00414635">
              <w:rPr>
                <w:rFonts w:ascii="Open Sans" w:hAnsi="Open Sans" w:cs="Open Sans"/>
                <w:i/>
                <w:iCs/>
                <w:kern w:val="0"/>
                <w:sz w:val="22"/>
                <w:szCs w:val="22"/>
                <w14:ligatures w14:val="none"/>
              </w:rPr>
              <w:t>IFRS for SMEs</w:t>
            </w:r>
            <w:r w:rsidRPr="00414635">
              <w:rPr>
                <w:rFonts w:ascii="Open Sans" w:hAnsi="Open Sans" w:cs="Open Sans"/>
                <w:kern w:val="0"/>
                <w:sz w:val="22"/>
                <w:szCs w:val="22"/>
                <w14:ligatures w14:val="none"/>
              </w:rPr>
              <w:t xml:space="preserve"> Accounting Standard and IFRS more generally. </w:t>
            </w:r>
          </w:p>
          <w:p w14:paraId="73615B91" w14:textId="5D16BA61" w:rsidR="00E41474" w:rsidRPr="00414635" w:rsidRDefault="000418F2"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INPAG does, however, require an NPO to consider </w:t>
            </w:r>
            <w:r w:rsidR="008647C7" w:rsidRPr="00414635">
              <w:rPr>
                <w:rFonts w:ascii="Open Sans" w:hAnsi="Open Sans" w:cs="Open Sans"/>
                <w:kern w:val="0"/>
                <w:sz w:val="22"/>
                <w:szCs w:val="22"/>
                <w14:ligatures w14:val="none"/>
              </w:rPr>
              <w:t xml:space="preserve">the </w:t>
            </w:r>
            <w:r w:rsidR="00BE29BD" w:rsidRPr="00414635">
              <w:rPr>
                <w:rFonts w:ascii="Open Sans" w:hAnsi="Open Sans" w:cs="Open Sans"/>
                <w:kern w:val="0"/>
                <w:sz w:val="22"/>
                <w:szCs w:val="22"/>
                <w14:ligatures w14:val="none"/>
              </w:rPr>
              <w:t>substance of the</w:t>
            </w:r>
            <w:r w:rsidR="008647C7" w:rsidRPr="00414635">
              <w:rPr>
                <w:rFonts w:ascii="Open Sans" w:hAnsi="Open Sans" w:cs="Open Sans"/>
                <w:kern w:val="0"/>
                <w:sz w:val="22"/>
                <w:szCs w:val="22"/>
                <w14:ligatures w14:val="none"/>
              </w:rPr>
              <w:t xml:space="preserve"> relationship</w:t>
            </w:r>
            <w:r w:rsidR="00BE29BD" w:rsidRPr="00414635">
              <w:rPr>
                <w:rFonts w:ascii="Open Sans" w:hAnsi="Open Sans" w:cs="Open Sans"/>
                <w:kern w:val="0"/>
                <w:sz w:val="22"/>
                <w:szCs w:val="22"/>
                <w14:ligatures w14:val="none"/>
              </w:rPr>
              <w:t>s</w:t>
            </w:r>
            <w:r w:rsidR="00C87591" w:rsidRPr="00414635">
              <w:rPr>
                <w:rFonts w:ascii="Open Sans" w:hAnsi="Open Sans" w:cs="Open Sans"/>
                <w:kern w:val="0"/>
                <w:sz w:val="22"/>
                <w:szCs w:val="22"/>
                <w14:ligatures w14:val="none"/>
              </w:rPr>
              <w:t xml:space="preserve"> it has</w:t>
            </w:r>
            <w:r w:rsidR="00450516" w:rsidRPr="00414635">
              <w:rPr>
                <w:rFonts w:ascii="Open Sans" w:hAnsi="Open Sans" w:cs="Open Sans"/>
                <w:kern w:val="0"/>
                <w:sz w:val="22"/>
                <w:szCs w:val="22"/>
                <w14:ligatures w14:val="none"/>
              </w:rPr>
              <w:t>, which may include donors</w:t>
            </w:r>
            <w:r w:rsidR="00BE29BD" w:rsidRPr="00414635">
              <w:rPr>
                <w:rFonts w:ascii="Open Sans" w:hAnsi="Open Sans" w:cs="Open Sans"/>
                <w:kern w:val="0"/>
                <w:sz w:val="22"/>
                <w:szCs w:val="22"/>
                <w14:ligatures w14:val="none"/>
              </w:rPr>
              <w:t xml:space="preserve">. If </w:t>
            </w:r>
            <w:r w:rsidR="00347174" w:rsidRPr="00414635">
              <w:rPr>
                <w:rFonts w:ascii="Open Sans" w:hAnsi="Open Sans" w:cs="Open Sans"/>
                <w:kern w:val="0"/>
                <w:sz w:val="22"/>
                <w:szCs w:val="22"/>
                <w14:ligatures w14:val="none"/>
              </w:rPr>
              <w:t xml:space="preserve">the substance of the relationship </w:t>
            </w:r>
            <w:r w:rsidR="003759CC" w:rsidRPr="00414635">
              <w:rPr>
                <w:rFonts w:ascii="Open Sans" w:hAnsi="Open Sans" w:cs="Open Sans"/>
                <w:kern w:val="0"/>
                <w:sz w:val="22"/>
                <w:szCs w:val="22"/>
                <w14:ligatures w14:val="none"/>
              </w:rPr>
              <w:t xml:space="preserve">with the NPO </w:t>
            </w:r>
            <w:r w:rsidR="00347174" w:rsidRPr="00414635">
              <w:rPr>
                <w:rFonts w:ascii="Open Sans" w:hAnsi="Open Sans" w:cs="Open Sans"/>
                <w:kern w:val="0"/>
                <w:sz w:val="22"/>
                <w:szCs w:val="22"/>
                <w14:ligatures w14:val="none"/>
              </w:rPr>
              <w:t xml:space="preserve">is such that </w:t>
            </w:r>
            <w:r w:rsidR="00450516" w:rsidRPr="00414635">
              <w:rPr>
                <w:rFonts w:ascii="Open Sans" w:hAnsi="Open Sans" w:cs="Open Sans"/>
                <w:kern w:val="0"/>
                <w:sz w:val="22"/>
                <w:szCs w:val="22"/>
                <w14:ligatures w14:val="none"/>
              </w:rPr>
              <w:t>a donor</w:t>
            </w:r>
            <w:r w:rsidR="00AA7271" w:rsidRPr="00414635">
              <w:rPr>
                <w:rFonts w:ascii="Open Sans" w:hAnsi="Open Sans" w:cs="Open Sans"/>
                <w:kern w:val="0"/>
                <w:sz w:val="22"/>
                <w:szCs w:val="22"/>
                <w14:ligatures w14:val="none"/>
              </w:rPr>
              <w:t xml:space="preserve"> </w:t>
            </w:r>
            <w:r w:rsidR="00A810D5" w:rsidRPr="00414635">
              <w:rPr>
                <w:rFonts w:ascii="Open Sans" w:hAnsi="Open Sans" w:cs="Open Sans"/>
                <w:kern w:val="0"/>
                <w:sz w:val="22"/>
                <w:szCs w:val="22"/>
                <w14:ligatures w14:val="none"/>
              </w:rPr>
              <w:t>it bears the characteristics of a related</w:t>
            </w:r>
            <w:r w:rsidR="005D6980" w:rsidRPr="00414635">
              <w:rPr>
                <w:rFonts w:ascii="Open Sans" w:hAnsi="Open Sans" w:cs="Open Sans"/>
                <w:kern w:val="0"/>
                <w:sz w:val="22"/>
                <w:szCs w:val="22"/>
                <w14:ligatures w14:val="none"/>
              </w:rPr>
              <w:t xml:space="preserve"> </w:t>
            </w:r>
            <w:r w:rsidR="00FE0AEC" w:rsidRPr="00414635">
              <w:rPr>
                <w:rFonts w:ascii="Open Sans" w:hAnsi="Open Sans" w:cs="Open Sans"/>
                <w:kern w:val="0"/>
                <w:sz w:val="22"/>
                <w:szCs w:val="22"/>
                <w14:ligatures w14:val="none"/>
              </w:rPr>
              <w:t xml:space="preserve">party </w:t>
            </w:r>
            <w:r w:rsidR="005D6980" w:rsidRPr="00414635">
              <w:rPr>
                <w:rFonts w:ascii="Open Sans" w:hAnsi="Open Sans" w:cs="Open Sans"/>
                <w:kern w:val="0"/>
                <w:sz w:val="22"/>
                <w:szCs w:val="22"/>
                <w14:ligatures w14:val="none"/>
              </w:rPr>
              <w:t xml:space="preserve">(eg </w:t>
            </w:r>
            <w:r w:rsidR="0006790E" w:rsidRPr="00414635">
              <w:rPr>
                <w:rFonts w:ascii="Open Sans" w:hAnsi="Open Sans" w:cs="Open Sans"/>
                <w:kern w:val="0"/>
                <w:sz w:val="22"/>
                <w:szCs w:val="22"/>
                <w14:ligatures w14:val="none"/>
              </w:rPr>
              <w:t>there is control or significant influence)</w:t>
            </w:r>
            <w:r w:rsidR="00A810D5" w:rsidRPr="00414635">
              <w:rPr>
                <w:rFonts w:ascii="Open Sans" w:hAnsi="Open Sans" w:cs="Open Sans"/>
                <w:kern w:val="0"/>
                <w:sz w:val="22"/>
                <w:szCs w:val="22"/>
                <w14:ligatures w14:val="none"/>
              </w:rPr>
              <w:t xml:space="preserve"> then </w:t>
            </w:r>
            <w:r w:rsidR="00461628" w:rsidRPr="00414635">
              <w:rPr>
                <w:rFonts w:ascii="Open Sans" w:hAnsi="Open Sans" w:cs="Open Sans"/>
                <w:kern w:val="0"/>
                <w:sz w:val="22"/>
                <w:szCs w:val="22"/>
                <w14:ligatures w14:val="none"/>
              </w:rPr>
              <w:t xml:space="preserve">it should be treated as such. </w:t>
            </w:r>
          </w:p>
          <w:p w14:paraId="451E7832" w14:textId="2EF4AE50" w:rsidR="008C3BD7" w:rsidRPr="00414635" w:rsidRDefault="008C3BD7"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1A73D2" w:rsidRPr="00414635" w14:paraId="2E7C8BCA" w14:textId="77777777" w:rsidTr="00EC5B34">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013A7557" w14:textId="502E5B32" w:rsidR="001A73D2" w:rsidRPr="00414635" w:rsidRDefault="00AE66BB" w:rsidP="00E41474">
            <w:pPr>
              <w:rPr>
                <w:rFonts w:ascii="Open Sans" w:hAnsi="Open Sans" w:cs="Open Sans"/>
                <w:kern w:val="0"/>
                <w:sz w:val="22"/>
                <w:szCs w:val="22"/>
                <w14:ligatures w14:val="none"/>
              </w:rPr>
            </w:pPr>
            <w:r w:rsidRPr="00414635">
              <w:rPr>
                <w:rFonts w:ascii="Open Sans" w:hAnsi="Open Sans" w:cs="Open Sans"/>
                <w:b w:val="0"/>
                <w:bCs w:val="0"/>
                <w:kern w:val="0"/>
                <w:sz w:val="22"/>
                <w:szCs w:val="22"/>
                <w14:ligatures w14:val="none"/>
              </w:rPr>
              <w:t>On related parties, why would the board members be considered as related parties?</w:t>
            </w:r>
          </w:p>
        </w:tc>
        <w:tc>
          <w:tcPr>
            <w:tcW w:w="5387" w:type="dxa"/>
            <w:shd w:val="clear" w:color="auto" w:fill="FFFFFF" w:themeFill="background1"/>
          </w:tcPr>
          <w:p w14:paraId="0DA5A9F8" w14:textId="4735D805" w:rsidR="000D4A84" w:rsidRPr="00414635" w:rsidRDefault="000D4A84" w:rsidP="000D4A8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 xml:space="preserve">It is a common feature of NPOs in many jurisdictions that oversight and control of the NPO is ultimately exercised not by executive officers who are members of staff of the NPO, but by a separate governing body that is formed of individuals, often volunteers, who are not employed by the NPO. These can be known as trustees, board members, or similar. Section 33 </w:t>
            </w:r>
            <w:r w:rsidR="00B5336C" w:rsidRPr="00414635">
              <w:rPr>
                <w:rFonts w:ascii="Open Sans" w:hAnsi="Open Sans" w:cs="Open Sans"/>
                <w:kern w:val="0"/>
                <w:sz w:val="22"/>
                <w:szCs w:val="22"/>
                <w14:ligatures w14:val="none"/>
              </w:rPr>
              <w:t>(</w:t>
            </w:r>
            <w:r w:rsidRPr="00414635">
              <w:rPr>
                <w:rFonts w:ascii="Open Sans" w:hAnsi="Open Sans" w:cs="Open Sans"/>
                <w:kern w:val="0"/>
                <w:sz w:val="22"/>
                <w:szCs w:val="22"/>
                <w14:ligatures w14:val="none"/>
              </w:rPr>
              <w:t>Related Party Disclosures</w:t>
            </w:r>
            <w:r w:rsidR="00B5336C" w:rsidRPr="00414635">
              <w:rPr>
                <w:rFonts w:ascii="Open Sans" w:hAnsi="Open Sans" w:cs="Open Sans"/>
                <w:kern w:val="0"/>
                <w:sz w:val="22"/>
                <w:szCs w:val="22"/>
                <w14:ligatures w14:val="none"/>
              </w:rPr>
              <w:t>)</w:t>
            </w:r>
            <w:r w:rsidRPr="00414635">
              <w:rPr>
                <w:rFonts w:ascii="Open Sans" w:hAnsi="Open Sans" w:cs="Open Sans"/>
                <w:kern w:val="0"/>
                <w:sz w:val="22"/>
                <w:szCs w:val="22"/>
                <w14:ligatures w14:val="none"/>
              </w:rPr>
              <w:t xml:space="preserve"> therefore includes governing body members as related parties. </w:t>
            </w:r>
            <w:r w:rsidR="0006419B" w:rsidRPr="00414635">
              <w:rPr>
                <w:rFonts w:ascii="Open Sans" w:hAnsi="Open Sans" w:cs="Open Sans"/>
                <w:kern w:val="0"/>
                <w:sz w:val="22"/>
                <w:szCs w:val="22"/>
                <w14:ligatures w14:val="none"/>
              </w:rPr>
              <w:t xml:space="preserve">Oversight and control creates the opportunity </w:t>
            </w:r>
            <w:r w:rsidR="00C130F4" w:rsidRPr="00414635">
              <w:rPr>
                <w:rFonts w:ascii="Open Sans" w:hAnsi="Open Sans" w:cs="Open Sans"/>
                <w:kern w:val="0"/>
                <w:sz w:val="22"/>
                <w:szCs w:val="22"/>
                <w14:ligatures w14:val="none"/>
              </w:rPr>
              <w:t>to affect</w:t>
            </w:r>
            <w:r w:rsidR="0006419B" w:rsidRPr="00414635">
              <w:rPr>
                <w:rFonts w:ascii="Open Sans" w:hAnsi="Open Sans" w:cs="Open Sans"/>
                <w:kern w:val="0"/>
                <w:sz w:val="22"/>
                <w:szCs w:val="22"/>
                <w14:ligatures w14:val="none"/>
              </w:rPr>
              <w:t xml:space="preserve"> </w:t>
            </w:r>
            <w:r w:rsidR="00C130F4" w:rsidRPr="00414635">
              <w:rPr>
                <w:rFonts w:ascii="Open Sans" w:hAnsi="Open Sans" w:cs="Open Sans"/>
                <w:kern w:val="0"/>
                <w:sz w:val="22"/>
                <w:szCs w:val="22"/>
                <w14:ligatures w14:val="none"/>
              </w:rPr>
              <w:t>the financial position and surplus or deficit.</w:t>
            </w:r>
          </w:p>
          <w:p w14:paraId="3AB435B1" w14:textId="77777777" w:rsidR="001A73D2" w:rsidRPr="00414635" w:rsidRDefault="001A73D2" w:rsidP="00E4147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p>
        </w:tc>
      </w:tr>
      <w:tr w:rsidR="00AE66BB" w:rsidRPr="00414635" w14:paraId="3723ED41" w14:textId="77777777" w:rsidTr="00EC5B34">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15DDB14E" w14:textId="77777777" w:rsidR="007D5114" w:rsidRPr="00414635" w:rsidRDefault="007D5114" w:rsidP="007D5114">
            <w:pPr>
              <w:rPr>
                <w:rFonts w:ascii="Open Sans" w:hAnsi="Open Sans" w:cs="Open Sans"/>
                <w:b w:val="0"/>
                <w:bCs w:val="0"/>
                <w:kern w:val="0"/>
                <w:sz w:val="22"/>
                <w:szCs w:val="22"/>
                <w14:ligatures w14:val="none"/>
              </w:rPr>
            </w:pPr>
            <w:r w:rsidRPr="00414635">
              <w:rPr>
                <w:rFonts w:ascii="Open Sans" w:hAnsi="Open Sans" w:cs="Open Sans"/>
                <w:b w:val="0"/>
                <w:bCs w:val="0"/>
                <w:kern w:val="0"/>
                <w:sz w:val="22"/>
                <w:szCs w:val="22"/>
                <w14:ligatures w14:val="none"/>
              </w:rPr>
              <w:t>What are the rules or what to look for to be able to recognise a donor as a related party?</w:t>
            </w:r>
          </w:p>
          <w:p w14:paraId="7AD59F03" w14:textId="77777777" w:rsidR="00AE66BB" w:rsidRPr="00414635" w:rsidRDefault="00AE66BB" w:rsidP="00E41474">
            <w:pPr>
              <w:rPr>
                <w:rFonts w:ascii="Open Sans" w:hAnsi="Open Sans" w:cs="Open Sans"/>
                <w:kern w:val="0"/>
                <w:sz w:val="22"/>
                <w:szCs w:val="22"/>
                <w14:ligatures w14:val="none"/>
              </w:rPr>
            </w:pPr>
          </w:p>
        </w:tc>
        <w:tc>
          <w:tcPr>
            <w:tcW w:w="5387" w:type="dxa"/>
            <w:shd w:val="clear" w:color="auto" w:fill="FFFFFF" w:themeFill="background1"/>
          </w:tcPr>
          <w:p w14:paraId="5DA5C4C5" w14:textId="77777777" w:rsidR="00E0089C" w:rsidRPr="00414635" w:rsidRDefault="00606CF1" w:rsidP="000D4A8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The specifications for identifying all related parties whether</w:t>
            </w:r>
            <w:r w:rsidR="00E25CB9" w:rsidRPr="00414635">
              <w:rPr>
                <w:rFonts w:ascii="Open Sans" w:hAnsi="Open Sans" w:cs="Open Sans"/>
                <w:kern w:val="0"/>
                <w:sz w:val="22"/>
                <w:szCs w:val="22"/>
                <w14:ligatures w14:val="none"/>
              </w:rPr>
              <w:t xml:space="preserve"> as an </w:t>
            </w:r>
            <w:r w:rsidR="00B5336C" w:rsidRPr="00414635">
              <w:rPr>
                <w:rFonts w:ascii="Open Sans" w:hAnsi="Open Sans" w:cs="Open Sans"/>
                <w:kern w:val="0"/>
                <w:sz w:val="22"/>
                <w:szCs w:val="22"/>
                <w14:ligatures w14:val="none"/>
              </w:rPr>
              <w:t>person</w:t>
            </w:r>
            <w:r w:rsidR="00E25CB9" w:rsidRPr="00414635">
              <w:rPr>
                <w:rFonts w:ascii="Open Sans" w:hAnsi="Open Sans" w:cs="Open Sans"/>
                <w:kern w:val="0"/>
                <w:sz w:val="22"/>
                <w:szCs w:val="22"/>
                <w14:ligatures w14:val="none"/>
              </w:rPr>
              <w:t xml:space="preserve"> or an entity are </w:t>
            </w:r>
            <w:r w:rsidR="00FF18EC" w:rsidRPr="00414635">
              <w:rPr>
                <w:rFonts w:ascii="Open Sans" w:hAnsi="Open Sans" w:cs="Open Sans"/>
                <w:kern w:val="0"/>
                <w:sz w:val="22"/>
                <w:szCs w:val="22"/>
                <w14:ligatures w14:val="none"/>
              </w:rPr>
              <w:t>set out</w:t>
            </w:r>
            <w:r w:rsidR="00A72973" w:rsidRPr="00414635">
              <w:rPr>
                <w:rFonts w:ascii="Open Sans" w:hAnsi="Open Sans" w:cs="Open Sans"/>
                <w:kern w:val="0"/>
                <w:sz w:val="22"/>
                <w:szCs w:val="22"/>
                <w14:ligatures w14:val="none"/>
              </w:rPr>
              <w:t xml:space="preserve"> in paragraph </w:t>
            </w:r>
            <w:r w:rsidR="00B5336C" w:rsidRPr="00414635">
              <w:rPr>
                <w:rFonts w:ascii="Open Sans" w:hAnsi="Open Sans" w:cs="Open Sans"/>
                <w:kern w:val="0"/>
                <w:sz w:val="22"/>
                <w:szCs w:val="22"/>
                <w14:ligatures w14:val="none"/>
              </w:rPr>
              <w:t xml:space="preserve">G33.2 (largely following the approach in </w:t>
            </w:r>
            <w:r w:rsidR="00E25CB9" w:rsidRPr="00414635">
              <w:rPr>
                <w:rFonts w:ascii="Open Sans" w:hAnsi="Open Sans" w:cs="Open Sans"/>
                <w:kern w:val="0"/>
                <w:sz w:val="22"/>
                <w:szCs w:val="22"/>
                <w14:ligatures w14:val="none"/>
              </w:rPr>
              <w:t xml:space="preserve"> </w:t>
            </w:r>
            <w:r w:rsidR="00B5336C" w:rsidRPr="00414635">
              <w:rPr>
                <w:rFonts w:ascii="Open Sans" w:hAnsi="Open Sans" w:cs="Open Sans"/>
                <w:i/>
                <w:iCs/>
                <w:kern w:val="0"/>
                <w:sz w:val="22"/>
                <w:szCs w:val="22"/>
                <w14:ligatures w14:val="none"/>
              </w:rPr>
              <w:t>IFRS for SMEs</w:t>
            </w:r>
            <w:r w:rsidR="00B5336C" w:rsidRPr="00414635">
              <w:rPr>
                <w:rFonts w:ascii="Open Sans" w:hAnsi="Open Sans" w:cs="Open Sans"/>
                <w:kern w:val="0"/>
                <w:sz w:val="22"/>
                <w:szCs w:val="22"/>
                <w14:ligatures w14:val="none"/>
              </w:rPr>
              <w:t xml:space="preserve"> Accounting Standard</w:t>
            </w:r>
            <w:r w:rsidR="00FF18EC" w:rsidRPr="00414635">
              <w:rPr>
                <w:rFonts w:ascii="Open Sans" w:hAnsi="Open Sans" w:cs="Open Sans"/>
                <w:kern w:val="0"/>
                <w:sz w:val="22"/>
                <w:szCs w:val="22"/>
                <w14:ligatures w14:val="none"/>
              </w:rPr>
              <w:t>,</w:t>
            </w:r>
            <w:r w:rsidR="000D164C" w:rsidRPr="00414635">
              <w:rPr>
                <w:rFonts w:ascii="Open Sans" w:hAnsi="Open Sans" w:cs="Open Sans"/>
                <w:kern w:val="0"/>
                <w:sz w:val="22"/>
                <w:szCs w:val="22"/>
                <w14:ligatures w14:val="none"/>
              </w:rPr>
              <w:t xml:space="preserve"> with the addition of governing body members</w:t>
            </w:r>
            <w:r w:rsidR="00B5336C" w:rsidRPr="00414635">
              <w:rPr>
                <w:rFonts w:ascii="Open Sans" w:hAnsi="Open Sans" w:cs="Open Sans"/>
                <w:kern w:val="0"/>
                <w:sz w:val="22"/>
                <w:szCs w:val="22"/>
                <w14:ligatures w14:val="none"/>
              </w:rPr>
              <w:t>).</w:t>
            </w:r>
            <w:r w:rsidR="00446FEA" w:rsidRPr="00414635">
              <w:rPr>
                <w:rFonts w:ascii="Open Sans" w:hAnsi="Open Sans" w:cs="Open Sans"/>
                <w:kern w:val="0"/>
                <w:sz w:val="22"/>
                <w:szCs w:val="22"/>
                <w14:ligatures w14:val="none"/>
              </w:rPr>
              <w:t xml:space="preserve"> </w:t>
            </w:r>
          </w:p>
          <w:p w14:paraId="70423624" w14:textId="043E1B30" w:rsidR="00AE66BB" w:rsidRPr="00414635" w:rsidRDefault="00446FEA" w:rsidP="000D4A84">
            <w:pPr>
              <w:cnfStyle w:val="000000000000" w:firstRow="0" w:lastRow="0" w:firstColumn="0" w:lastColumn="0" w:oddVBand="0" w:evenVBand="0" w:oddHBand="0" w:evenHBand="0" w:firstRowFirstColumn="0" w:firstRowLastColumn="0" w:lastRowFirstColumn="0" w:lastRowLastColumn="0"/>
              <w:rPr>
                <w:rFonts w:ascii="Open Sans" w:hAnsi="Open Sans" w:cs="Open Sans"/>
                <w:kern w:val="0"/>
                <w:sz w:val="22"/>
                <w:szCs w:val="22"/>
                <w14:ligatures w14:val="none"/>
              </w:rPr>
            </w:pPr>
            <w:r w:rsidRPr="00414635">
              <w:rPr>
                <w:rFonts w:ascii="Open Sans" w:hAnsi="Open Sans" w:cs="Open Sans"/>
                <w:kern w:val="0"/>
                <w:sz w:val="22"/>
                <w:szCs w:val="22"/>
                <w14:ligatures w14:val="none"/>
              </w:rPr>
              <w:t>Th</w:t>
            </w:r>
            <w:r w:rsidR="00BE7A66" w:rsidRPr="00414635">
              <w:rPr>
                <w:rFonts w:ascii="Open Sans" w:hAnsi="Open Sans" w:cs="Open Sans"/>
                <w:kern w:val="0"/>
                <w:sz w:val="22"/>
                <w:szCs w:val="22"/>
                <w14:ligatures w14:val="none"/>
              </w:rPr>
              <w:t xml:space="preserve">e list of related parties includes key management personnel but also </w:t>
            </w:r>
            <w:r w:rsidR="00ED1473" w:rsidRPr="00414635">
              <w:rPr>
                <w:rFonts w:ascii="Open Sans" w:hAnsi="Open Sans" w:cs="Open Sans"/>
                <w:kern w:val="0"/>
                <w:sz w:val="22"/>
                <w:szCs w:val="22"/>
                <w14:ligatures w14:val="none"/>
              </w:rPr>
              <w:t xml:space="preserve">entities within the same group and entities that are </w:t>
            </w:r>
            <w:r w:rsidR="0004053C" w:rsidRPr="00414635">
              <w:rPr>
                <w:rFonts w:ascii="Open Sans" w:hAnsi="Open Sans" w:cs="Open Sans"/>
                <w:kern w:val="0"/>
                <w:sz w:val="22"/>
                <w:szCs w:val="22"/>
                <w14:ligatures w14:val="none"/>
              </w:rPr>
              <w:t>associate</w:t>
            </w:r>
            <w:r w:rsidR="00520F8B" w:rsidRPr="00414635">
              <w:rPr>
                <w:rFonts w:ascii="Open Sans" w:hAnsi="Open Sans" w:cs="Open Sans"/>
                <w:kern w:val="0"/>
                <w:sz w:val="22"/>
                <w:szCs w:val="22"/>
                <w14:ligatures w14:val="none"/>
              </w:rPr>
              <w:t>s</w:t>
            </w:r>
            <w:r w:rsidR="0004053C" w:rsidRPr="00414635">
              <w:rPr>
                <w:rFonts w:ascii="Open Sans" w:hAnsi="Open Sans" w:cs="Open Sans"/>
                <w:kern w:val="0"/>
                <w:sz w:val="22"/>
                <w:szCs w:val="22"/>
                <w14:ligatures w14:val="none"/>
              </w:rPr>
              <w:t xml:space="preserve"> of or jointly controlled by the NPO. </w:t>
            </w:r>
            <w:r w:rsidR="003874A2" w:rsidRPr="00414635">
              <w:rPr>
                <w:rFonts w:ascii="Open Sans" w:hAnsi="Open Sans" w:cs="Open Sans"/>
                <w:kern w:val="0"/>
                <w:sz w:val="22"/>
                <w:szCs w:val="22"/>
                <w14:ligatures w14:val="none"/>
              </w:rPr>
              <w:t xml:space="preserve">This applies equally to donors. </w:t>
            </w:r>
            <w:r w:rsidRPr="00414635">
              <w:rPr>
                <w:rFonts w:ascii="Open Sans" w:hAnsi="Open Sans" w:cs="Open Sans"/>
                <w:kern w:val="0"/>
                <w:sz w:val="22"/>
                <w:szCs w:val="22"/>
                <w14:ligatures w14:val="none"/>
              </w:rPr>
              <w:t>G33.3 and G33.4</w:t>
            </w:r>
            <w:r w:rsidR="003F2D61" w:rsidRPr="00414635">
              <w:rPr>
                <w:rFonts w:ascii="Open Sans" w:hAnsi="Open Sans" w:cs="Open Sans"/>
                <w:kern w:val="0"/>
                <w:sz w:val="22"/>
                <w:szCs w:val="22"/>
                <w14:ligatures w14:val="none"/>
              </w:rPr>
              <w:t xml:space="preserve"> provide additional guidance</w:t>
            </w:r>
            <w:r w:rsidRPr="00414635">
              <w:rPr>
                <w:rFonts w:ascii="Open Sans" w:hAnsi="Open Sans" w:cs="Open Sans"/>
                <w:kern w:val="0"/>
                <w:sz w:val="22"/>
                <w:szCs w:val="22"/>
                <w14:ligatures w14:val="none"/>
              </w:rPr>
              <w:t xml:space="preserve">. </w:t>
            </w:r>
            <w:r w:rsidR="00F8082B" w:rsidRPr="00414635">
              <w:rPr>
                <w:rFonts w:ascii="Open Sans" w:hAnsi="Open Sans" w:cs="Open Sans"/>
                <w:kern w:val="0"/>
                <w:sz w:val="22"/>
                <w:szCs w:val="22"/>
                <w14:ligatures w14:val="none"/>
              </w:rPr>
              <w:t xml:space="preserve"> </w:t>
            </w:r>
          </w:p>
        </w:tc>
      </w:tr>
    </w:tbl>
    <w:p w14:paraId="125B1C87" w14:textId="77777777" w:rsidR="00C45B03" w:rsidRPr="00A35E83" w:rsidRDefault="00C45B03">
      <w:pPr>
        <w:rPr>
          <w:rFonts w:ascii="Open Sans Light" w:hAnsi="Open Sans Light" w:cs="Open Sans Light"/>
          <w:kern w:val="0"/>
          <w:sz w:val="22"/>
          <w:szCs w:val="22"/>
          <w14:ligatures w14:val="none"/>
        </w:rPr>
      </w:pPr>
    </w:p>
    <w:sectPr w:rsidR="00C45B03" w:rsidRPr="00A35E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A378" w14:textId="77777777" w:rsidR="0049789C" w:rsidRDefault="0049789C" w:rsidP="00414635">
      <w:pPr>
        <w:spacing w:after="0" w:line="240" w:lineRule="auto"/>
      </w:pPr>
      <w:r>
        <w:separator/>
      </w:r>
    </w:p>
  </w:endnote>
  <w:endnote w:type="continuationSeparator" w:id="0">
    <w:p w14:paraId="1F39F012" w14:textId="77777777" w:rsidR="0049789C" w:rsidRDefault="0049789C" w:rsidP="0041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637" w14:textId="77777777" w:rsidR="0049789C" w:rsidRDefault="0049789C" w:rsidP="00414635">
      <w:pPr>
        <w:spacing w:after="0" w:line="240" w:lineRule="auto"/>
      </w:pPr>
      <w:r>
        <w:separator/>
      </w:r>
    </w:p>
  </w:footnote>
  <w:footnote w:type="continuationSeparator" w:id="0">
    <w:p w14:paraId="169D69E5" w14:textId="77777777" w:rsidR="0049789C" w:rsidRDefault="0049789C" w:rsidP="0041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E429" w14:textId="23B49CE6" w:rsidR="00414635" w:rsidRDefault="00414635" w:rsidP="00414635">
    <w:pPr>
      <w:pStyle w:val="Header"/>
      <w:jc w:val="center"/>
    </w:pPr>
    <w:r>
      <w:rPr>
        <w:noProof/>
      </w:rPr>
      <w:drawing>
        <wp:inline distT="0" distB="0" distL="0" distR="0" wp14:anchorId="62F3EC62" wp14:editId="13BFCC26">
          <wp:extent cx="4095750" cy="12356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95750" cy="1235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F01"/>
    <w:multiLevelType w:val="multilevel"/>
    <w:tmpl w:val="8E9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0C5A0C"/>
    <w:multiLevelType w:val="hybridMultilevel"/>
    <w:tmpl w:val="A464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470881">
    <w:abstractNumId w:val="0"/>
  </w:num>
  <w:num w:numId="2" w16cid:durableId="123955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03"/>
    <w:rsid w:val="00000042"/>
    <w:rsid w:val="00004860"/>
    <w:rsid w:val="000079EE"/>
    <w:rsid w:val="00027FB4"/>
    <w:rsid w:val="000333C5"/>
    <w:rsid w:val="0004053C"/>
    <w:rsid w:val="000418F2"/>
    <w:rsid w:val="00047FBB"/>
    <w:rsid w:val="00057AB0"/>
    <w:rsid w:val="0006419B"/>
    <w:rsid w:val="0006790E"/>
    <w:rsid w:val="000749FB"/>
    <w:rsid w:val="00081593"/>
    <w:rsid w:val="000A3DCD"/>
    <w:rsid w:val="000A5D62"/>
    <w:rsid w:val="000A7BB0"/>
    <w:rsid w:val="000B0E50"/>
    <w:rsid w:val="000C587E"/>
    <w:rsid w:val="000D164C"/>
    <w:rsid w:val="000D4A84"/>
    <w:rsid w:val="000E303B"/>
    <w:rsid w:val="000F1DFE"/>
    <w:rsid w:val="00101989"/>
    <w:rsid w:val="00111440"/>
    <w:rsid w:val="00112CF4"/>
    <w:rsid w:val="00117CA8"/>
    <w:rsid w:val="001233B7"/>
    <w:rsid w:val="00125F77"/>
    <w:rsid w:val="00126F67"/>
    <w:rsid w:val="0014144B"/>
    <w:rsid w:val="0014591E"/>
    <w:rsid w:val="00150787"/>
    <w:rsid w:val="00157837"/>
    <w:rsid w:val="00164525"/>
    <w:rsid w:val="00165B7B"/>
    <w:rsid w:val="00166669"/>
    <w:rsid w:val="00171F15"/>
    <w:rsid w:val="00175AE4"/>
    <w:rsid w:val="00181178"/>
    <w:rsid w:val="00187FDC"/>
    <w:rsid w:val="00191034"/>
    <w:rsid w:val="001924A2"/>
    <w:rsid w:val="001A73D2"/>
    <w:rsid w:val="001B0442"/>
    <w:rsid w:val="001C39E6"/>
    <w:rsid w:val="001C4209"/>
    <w:rsid w:val="001D0B42"/>
    <w:rsid w:val="001D60D6"/>
    <w:rsid w:val="001E3DD8"/>
    <w:rsid w:val="002171C7"/>
    <w:rsid w:val="00222E66"/>
    <w:rsid w:val="00230FA3"/>
    <w:rsid w:val="002316E6"/>
    <w:rsid w:val="00240D8E"/>
    <w:rsid w:val="0024145D"/>
    <w:rsid w:val="002424D1"/>
    <w:rsid w:val="00263DD0"/>
    <w:rsid w:val="00265AC5"/>
    <w:rsid w:val="00270930"/>
    <w:rsid w:val="002765B9"/>
    <w:rsid w:val="00276FE9"/>
    <w:rsid w:val="002B2A85"/>
    <w:rsid w:val="002C251C"/>
    <w:rsid w:val="002D23A4"/>
    <w:rsid w:val="002D42CC"/>
    <w:rsid w:val="002F1B7C"/>
    <w:rsid w:val="002F31B7"/>
    <w:rsid w:val="002F3B01"/>
    <w:rsid w:val="00312E97"/>
    <w:rsid w:val="00314A5E"/>
    <w:rsid w:val="003171F2"/>
    <w:rsid w:val="003233F1"/>
    <w:rsid w:val="00326D5C"/>
    <w:rsid w:val="00332BB1"/>
    <w:rsid w:val="00340DBF"/>
    <w:rsid w:val="00347174"/>
    <w:rsid w:val="00350605"/>
    <w:rsid w:val="00350D43"/>
    <w:rsid w:val="00352E17"/>
    <w:rsid w:val="00367E70"/>
    <w:rsid w:val="00373253"/>
    <w:rsid w:val="0037444A"/>
    <w:rsid w:val="003747A0"/>
    <w:rsid w:val="003759CC"/>
    <w:rsid w:val="00376A3E"/>
    <w:rsid w:val="003771EB"/>
    <w:rsid w:val="003874A2"/>
    <w:rsid w:val="003917A7"/>
    <w:rsid w:val="003B1671"/>
    <w:rsid w:val="003B6DAA"/>
    <w:rsid w:val="003B7A6C"/>
    <w:rsid w:val="003D62FF"/>
    <w:rsid w:val="003D7962"/>
    <w:rsid w:val="003E5C77"/>
    <w:rsid w:val="003E78A9"/>
    <w:rsid w:val="003E7930"/>
    <w:rsid w:val="003F2D61"/>
    <w:rsid w:val="004062EA"/>
    <w:rsid w:val="0041097B"/>
    <w:rsid w:val="00414635"/>
    <w:rsid w:val="00414D9B"/>
    <w:rsid w:val="00417163"/>
    <w:rsid w:val="0042086E"/>
    <w:rsid w:val="00421AE3"/>
    <w:rsid w:val="0043255F"/>
    <w:rsid w:val="00446FEA"/>
    <w:rsid w:val="00450516"/>
    <w:rsid w:val="00461628"/>
    <w:rsid w:val="004735C1"/>
    <w:rsid w:val="00480607"/>
    <w:rsid w:val="00486771"/>
    <w:rsid w:val="00491219"/>
    <w:rsid w:val="0049789C"/>
    <w:rsid w:val="004A407B"/>
    <w:rsid w:val="004A4898"/>
    <w:rsid w:val="004B375C"/>
    <w:rsid w:val="004D2543"/>
    <w:rsid w:val="004D789C"/>
    <w:rsid w:val="004E06AF"/>
    <w:rsid w:val="004E0CB1"/>
    <w:rsid w:val="004E4325"/>
    <w:rsid w:val="004E7E90"/>
    <w:rsid w:val="004F185A"/>
    <w:rsid w:val="004F353C"/>
    <w:rsid w:val="004F4CCE"/>
    <w:rsid w:val="004F5145"/>
    <w:rsid w:val="004F54AE"/>
    <w:rsid w:val="005006FB"/>
    <w:rsid w:val="00515A2B"/>
    <w:rsid w:val="00516AEF"/>
    <w:rsid w:val="00520F8B"/>
    <w:rsid w:val="00522BE1"/>
    <w:rsid w:val="0052309B"/>
    <w:rsid w:val="00525151"/>
    <w:rsid w:val="00533B23"/>
    <w:rsid w:val="0053418B"/>
    <w:rsid w:val="00545CB7"/>
    <w:rsid w:val="005468CE"/>
    <w:rsid w:val="00566EEE"/>
    <w:rsid w:val="00593C72"/>
    <w:rsid w:val="005A3F54"/>
    <w:rsid w:val="005D6980"/>
    <w:rsid w:val="005E0166"/>
    <w:rsid w:val="005E195F"/>
    <w:rsid w:val="005F0643"/>
    <w:rsid w:val="005F4B40"/>
    <w:rsid w:val="006057DE"/>
    <w:rsid w:val="00606CF1"/>
    <w:rsid w:val="00611358"/>
    <w:rsid w:val="00625493"/>
    <w:rsid w:val="00634F96"/>
    <w:rsid w:val="00635087"/>
    <w:rsid w:val="0064406C"/>
    <w:rsid w:val="00644165"/>
    <w:rsid w:val="006644AE"/>
    <w:rsid w:val="006828D2"/>
    <w:rsid w:val="006853ED"/>
    <w:rsid w:val="00697675"/>
    <w:rsid w:val="006A2173"/>
    <w:rsid w:val="006A2269"/>
    <w:rsid w:val="006B2434"/>
    <w:rsid w:val="006C18F7"/>
    <w:rsid w:val="006C38E3"/>
    <w:rsid w:val="006C4597"/>
    <w:rsid w:val="006C72FC"/>
    <w:rsid w:val="006C7430"/>
    <w:rsid w:val="006D1287"/>
    <w:rsid w:val="006D4A30"/>
    <w:rsid w:val="006D5EE0"/>
    <w:rsid w:val="006E54F5"/>
    <w:rsid w:val="006E5F4F"/>
    <w:rsid w:val="006F2CBD"/>
    <w:rsid w:val="006F41B8"/>
    <w:rsid w:val="00717542"/>
    <w:rsid w:val="00717778"/>
    <w:rsid w:val="00735976"/>
    <w:rsid w:val="007840A2"/>
    <w:rsid w:val="00784B56"/>
    <w:rsid w:val="007938FE"/>
    <w:rsid w:val="00796054"/>
    <w:rsid w:val="007A1E89"/>
    <w:rsid w:val="007A584B"/>
    <w:rsid w:val="007B0F9E"/>
    <w:rsid w:val="007B23EF"/>
    <w:rsid w:val="007B3882"/>
    <w:rsid w:val="007B6F56"/>
    <w:rsid w:val="007C05CD"/>
    <w:rsid w:val="007D5114"/>
    <w:rsid w:val="007F6D8D"/>
    <w:rsid w:val="008016A0"/>
    <w:rsid w:val="00804089"/>
    <w:rsid w:val="00806C29"/>
    <w:rsid w:val="0081706C"/>
    <w:rsid w:val="008279FB"/>
    <w:rsid w:val="008348A3"/>
    <w:rsid w:val="00841CAF"/>
    <w:rsid w:val="008647C7"/>
    <w:rsid w:val="008710B2"/>
    <w:rsid w:val="008726B8"/>
    <w:rsid w:val="00877584"/>
    <w:rsid w:val="00891223"/>
    <w:rsid w:val="0089258B"/>
    <w:rsid w:val="008A7348"/>
    <w:rsid w:val="008C0112"/>
    <w:rsid w:val="008C04E4"/>
    <w:rsid w:val="008C3519"/>
    <w:rsid w:val="008C3BD7"/>
    <w:rsid w:val="008D34FE"/>
    <w:rsid w:val="008D4D65"/>
    <w:rsid w:val="008F1651"/>
    <w:rsid w:val="00913CE7"/>
    <w:rsid w:val="0092518D"/>
    <w:rsid w:val="009356A6"/>
    <w:rsid w:val="00946384"/>
    <w:rsid w:val="009479D8"/>
    <w:rsid w:val="0095312D"/>
    <w:rsid w:val="00956051"/>
    <w:rsid w:val="009602F5"/>
    <w:rsid w:val="00970C7E"/>
    <w:rsid w:val="00970CD5"/>
    <w:rsid w:val="00980EC1"/>
    <w:rsid w:val="009A2A43"/>
    <w:rsid w:val="009B5350"/>
    <w:rsid w:val="009D0751"/>
    <w:rsid w:val="009D19B7"/>
    <w:rsid w:val="009D4E21"/>
    <w:rsid w:val="009E10CA"/>
    <w:rsid w:val="009E3A46"/>
    <w:rsid w:val="009E5C30"/>
    <w:rsid w:val="009E6444"/>
    <w:rsid w:val="009E6DFE"/>
    <w:rsid w:val="009F142C"/>
    <w:rsid w:val="009F2934"/>
    <w:rsid w:val="00A01D11"/>
    <w:rsid w:val="00A24418"/>
    <w:rsid w:val="00A24EFE"/>
    <w:rsid w:val="00A24FB5"/>
    <w:rsid w:val="00A35A7E"/>
    <w:rsid w:val="00A35E83"/>
    <w:rsid w:val="00A537BD"/>
    <w:rsid w:val="00A64C8B"/>
    <w:rsid w:val="00A72973"/>
    <w:rsid w:val="00A810D5"/>
    <w:rsid w:val="00A843D4"/>
    <w:rsid w:val="00A84939"/>
    <w:rsid w:val="00A85163"/>
    <w:rsid w:val="00AA4F6B"/>
    <w:rsid w:val="00AA5C34"/>
    <w:rsid w:val="00AA7271"/>
    <w:rsid w:val="00AB72AF"/>
    <w:rsid w:val="00AC3737"/>
    <w:rsid w:val="00AC5E85"/>
    <w:rsid w:val="00AC6715"/>
    <w:rsid w:val="00AD2010"/>
    <w:rsid w:val="00AD472A"/>
    <w:rsid w:val="00AE66BB"/>
    <w:rsid w:val="00AF2D85"/>
    <w:rsid w:val="00B11846"/>
    <w:rsid w:val="00B435F8"/>
    <w:rsid w:val="00B5336C"/>
    <w:rsid w:val="00B604C1"/>
    <w:rsid w:val="00B61E50"/>
    <w:rsid w:val="00B646C2"/>
    <w:rsid w:val="00B65538"/>
    <w:rsid w:val="00B674C1"/>
    <w:rsid w:val="00B726C4"/>
    <w:rsid w:val="00B82E97"/>
    <w:rsid w:val="00B8618B"/>
    <w:rsid w:val="00B87AF6"/>
    <w:rsid w:val="00BB163B"/>
    <w:rsid w:val="00BB6474"/>
    <w:rsid w:val="00BD5B8D"/>
    <w:rsid w:val="00BD7790"/>
    <w:rsid w:val="00BE29BD"/>
    <w:rsid w:val="00BE60E2"/>
    <w:rsid w:val="00BE6AC4"/>
    <w:rsid w:val="00BE7A66"/>
    <w:rsid w:val="00BF1641"/>
    <w:rsid w:val="00C07C37"/>
    <w:rsid w:val="00C105CA"/>
    <w:rsid w:val="00C130F4"/>
    <w:rsid w:val="00C17317"/>
    <w:rsid w:val="00C20252"/>
    <w:rsid w:val="00C33A07"/>
    <w:rsid w:val="00C41641"/>
    <w:rsid w:val="00C45B03"/>
    <w:rsid w:val="00C64126"/>
    <w:rsid w:val="00C64F44"/>
    <w:rsid w:val="00C66C81"/>
    <w:rsid w:val="00C70591"/>
    <w:rsid w:val="00C80F80"/>
    <w:rsid w:val="00C812C2"/>
    <w:rsid w:val="00C87591"/>
    <w:rsid w:val="00C92190"/>
    <w:rsid w:val="00CA1568"/>
    <w:rsid w:val="00CA53F8"/>
    <w:rsid w:val="00CB0AE1"/>
    <w:rsid w:val="00CB12F5"/>
    <w:rsid w:val="00CB4593"/>
    <w:rsid w:val="00CC131C"/>
    <w:rsid w:val="00CD09F1"/>
    <w:rsid w:val="00CD2439"/>
    <w:rsid w:val="00CD3111"/>
    <w:rsid w:val="00CD31BD"/>
    <w:rsid w:val="00CF136E"/>
    <w:rsid w:val="00D0597A"/>
    <w:rsid w:val="00D0723C"/>
    <w:rsid w:val="00D10521"/>
    <w:rsid w:val="00D24B16"/>
    <w:rsid w:val="00D326A0"/>
    <w:rsid w:val="00D36BB9"/>
    <w:rsid w:val="00D46AC8"/>
    <w:rsid w:val="00D51A49"/>
    <w:rsid w:val="00D52451"/>
    <w:rsid w:val="00D62CA2"/>
    <w:rsid w:val="00D6485A"/>
    <w:rsid w:val="00D731CB"/>
    <w:rsid w:val="00D7565C"/>
    <w:rsid w:val="00D75C28"/>
    <w:rsid w:val="00D85D79"/>
    <w:rsid w:val="00D972E4"/>
    <w:rsid w:val="00DB0119"/>
    <w:rsid w:val="00DB57EE"/>
    <w:rsid w:val="00DB6C97"/>
    <w:rsid w:val="00DC36AF"/>
    <w:rsid w:val="00DD3479"/>
    <w:rsid w:val="00DD5ADE"/>
    <w:rsid w:val="00DE2791"/>
    <w:rsid w:val="00E0089C"/>
    <w:rsid w:val="00E13563"/>
    <w:rsid w:val="00E23BF1"/>
    <w:rsid w:val="00E25CB9"/>
    <w:rsid w:val="00E3189E"/>
    <w:rsid w:val="00E3438C"/>
    <w:rsid w:val="00E41474"/>
    <w:rsid w:val="00E4414A"/>
    <w:rsid w:val="00E500CC"/>
    <w:rsid w:val="00E54F92"/>
    <w:rsid w:val="00E62E7E"/>
    <w:rsid w:val="00E63CDC"/>
    <w:rsid w:val="00E71528"/>
    <w:rsid w:val="00E72733"/>
    <w:rsid w:val="00E73E8F"/>
    <w:rsid w:val="00E8559C"/>
    <w:rsid w:val="00E930E5"/>
    <w:rsid w:val="00EA520E"/>
    <w:rsid w:val="00EA5852"/>
    <w:rsid w:val="00EA71A1"/>
    <w:rsid w:val="00EA7854"/>
    <w:rsid w:val="00EB42A2"/>
    <w:rsid w:val="00EB4847"/>
    <w:rsid w:val="00EC5B34"/>
    <w:rsid w:val="00ED1473"/>
    <w:rsid w:val="00ED54BA"/>
    <w:rsid w:val="00EE1A3F"/>
    <w:rsid w:val="00EF2BCE"/>
    <w:rsid w:val="00F06401"/>
    <w:rsid w:val="00F06E42"/>
    <w:rsid w:val="00F10EBC"/>
    <w:rsid w:val="00F14ED3"/>
    <w:rsid w:val="00F2703B"/>
    <w:rsid w:val="00F3602C"/>
    <w:rsid w:val="00F42E76"/>
    <w:rsid w:val="00F506DB"/>
    <w:rsid w:val="00F5605E"/>
    <w:rsid w:val="00F76E71"/>
    <w:rsid w:val="00F8082B"/>
    <w:rsid w:val="00F97D5D"/>
    <w:rsid w:val="00FB0F07"/>
    <w:rsid w:val="00FB2202"/>
    <w:rsid w:val="00FE0444"/>
    <w:rsid w:val="00FE0AEC"/>
    <w:rsid w:val="00FE39FB"/>
    <w:rsid w:val="00FF18EC"/>
    <w:rsid w:val="00FF42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5C36"/>
  <w15:chartTrackingRefBased/>
  <w15:docId w15:val="{DAB3DD31-1944-4B83-8BBB-731E8F20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B03"/>
    <w:rPr>
      <w:rFonts w:eastAsiaTheme="majorEastAsia" w:cstheme="majorBidi"/>
      <w:color w:val="272727" w:themeColor="text1" w:themeTint="D8"/>
    </w:rPr>
  </w:style>
  <w:style w:type="paragraph" w:styleId="Title">
    <w:name w:val="Title"/>
    <w:basedOn w:val="Normal"/>
    <w:next w:val="Normal"/>
    <w:link w:val="TitleChar"/>
    <w:uiPriority w:val="10"/>
    <w:qFormat/>
    <w:rsid w:val="00C45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B03"/>
    <w:pPr>
      <w:spacing w:before="160"/>
      <w:jc w:val="center"/>
    </w:pPr>
    <w:rPr>
      <w:i/>
      <w:iCs/>
      <w:color w:val="404040" w:themeColor="text1" w:themeTint="BF"/>
    </w:rPr>
  </w:style>
  <w:style w:type="character" w:customStyle="1" w:styleId="QuoteChar">
    <w:name w:val="Quote Char"/>
    <w:basedOn w:val="DefaultParagraphFont"/>
    <w:link w:val="Quote"/>
    <w:uiPriority w:val="29"/>
    <w:rsid w:val="00C45B03"/>
    <w:rPr>
      <w:i/>
      <w:iCs/>
      <w:color w:val="404040" w:themeColor="text1" w:themeTint="BF"/>
    </w:rPr>
  </w:style>
  <w:style w:type="paragraph" w:styleId="ListParagraph">
    <w:name w:val="List Paragraph"/>
    <w:basedOn w:val="Normal"/>
    <w:uiPriority w:val="34"/>
    <w:qFormat/>
    <w:rsid w:val="00C45B03"/>
    <w:pPr>
      <w:ind w:left="720"/>
      <w:contextualSpacing/>
    </w:pPr>
  </w:style>
  <w:style w:type="character" w:styleId="IntenseEmphasis">
    <w:name w:val="Intense Emphasis"/>
    <w:basedOn w:val="DefaultParagraphFont"/>
    <w:uiPriority w:val="21"/>
    <w:qFormat/>
    <w:rsid w:val="00C45B03"/>
    <w:rPr>
      <w:i/>
      <w:iCs/>
      <w:color w:val="0F4761" w:themeColor="accent1" w:themeShade="BF"/>
    </w:rPr>
  </w:style>
  <w:style w:type="paragraph" w:styleId="IntenseQuote">
    <w:name w:val="Intense Quote"/>
    <w:basedOn w:val="Normal"/>
    <w:next w:val="Normal"/>
    <w:link w:val="IntenseQuoteChar"/>
    <w:uiPriority w:val="30"/>
    <w:qFormat/>
    <w:rsid w:val="00C45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B03"/>
    <w:rPr>
      <w:i/>
      <w:iCs/>
      <w:color w:val="0F4761" w:themeColor="accent1" w:themeShade="BF"/>
    </w:rPr>
  </w:style>
  <w:style w:type="character" w:styleId="IntenseReference">
    <w:name w:val="Intense Reference"/>
    <w:basedOn w:val="DefaultParagraphFont"/>
    <w:uiPriority w:val="32"/>
    <w:qFormat/>
    <w:rsid w:val="00C45B03"/>
    <w:rPr>
      <w:b/>
      <w:bCs/>
      <w:smallCaps/>
      <w:color w:val="0F4761" w:themeColor="accent1" w:themeShade="BF"/>
      <w:spacing w:val="5"/>
    </w:rPr>
  </w:style>
  <w:style w:type="table" w:styleId="TableGrid">
    <w:name w:val="Table Grid"/>
    <w:basedOn w:val="TableNormal"/>
    <w:uiPriority w:val="39"/>
    <w:rsid w:val="00C4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45B0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PlainTable1">
    <w:name w:val="Plain Table 1"/>
    <w:basedOn w:val="TableNormal"/>
    <w:uiPriority w:val="41"/>
    <w:rsid w:val="00E23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16A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970C7E"/>
    <w:pPr>
      <w:spacing w:after="0" w:line="240" w:lineRule="auto"/>
    </w:pPr>
  </w:style>
  <w:style w:type="character" w:styleId="CommentReference">
    <w:name w:val="annotation reference"/>
    <w:basedOn w:val="DefaultParagraphFont"/>
    <w:uiPriority w:val="99"/>
    <w:semiHidden/>
    <w:unhideWhenUsed/>
    <w:rsid w:val="00C07C37"/>
    <w:rPr>
      <w:sz w:val="16"/>
      <w:szCs w:val="16"/>
    </w:rPr>
  </w:style>
  <w:style w:type="paragraph" w:styleId="CommentText">
    <w:name w:val="annotation text"/>
    <w:basedOn w:val="Normal"/>
    <w:link w:val="CommentTextChar"/>
    <w:uiPriority w:val="99"/>
    <w:unhideWhenUsed/>
    <w:rsid w:val="00C07C37"/>
    <w:pPr>
      <w:spacing w:line="240" w:lineRule="auto"/>
    </w:pPr>
    <w:rPr>
      <w:sz w:val="20"/>
      <w:szCs w:val="20"/>
    </w:rPr>
  </w:style>
  <w:style w:type="character" w:customStyle="1" w:styleId="CommentTextChar">
    <w:name w:val="Comment Text Char"/>
    <w:basedOn w:val="DefaultParagraphFont"/>
    <w:link w:val="CommentText"/>
    <w:uiPriority w:val="99"/>
    <w:rsid w:val="00C07C37"/>
    <w:rPr>
      <w:sz w:val="20"/>
      <w:szCs w:val="20"/>
    </w:rPr>
  </w:style>
  <w:style w:type="paragraph" w:styleId="CommentSubject">
    <w:name w:val="annotation subject"/>
    <w:basedOn w:val="CommentText"/>
    <w:next w:val="CommentText"/>
    <w:link w:val="CommentSubjectChar"/>
    <w:uiPriority w:val="99"/>
    <w:semiHidden/>
    <w:unhideWhenUsed/>
    <w:rsid w:val="00C07C37"/>
    <w:rPr>
      <w:b/>
      <w:bCs/>
    </w:rPr>
  </w:style>
  <w:style w:type="character" w:customStyle="1" w:styleId="CommentSubjectChar">
    <w:name w:val="Comment Subject Char"/>
    <w:basedOn w:val="CommentTextChar"/>
    <w:link w:val="CommentSubject"/>
    <w:uiPriority w:val="99"/>
    <w:semiHidden/>
    <w:rsid w:val="00C07C37"/>
    <w:rPr>
      <w:b/>
      <w:bCs/>
      <w:sz w:val="20"/>
      <w:szCs w:val="20"/>
    </w:rPr>
  </w:style>
  <w:style w:type="paragraph" w:styleId="Header">
    <w:name w:val="header"/>
    <w:basedOn w:val="Normal"/>
    <w:link w:val="HeaderChar"/>
    <w:uiPriority w:val="99"/>
    <w:unhideWhenUsed/>
    <w:rsid w:val="0041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35"/>
  </w:style>
  <w:style w:type="paragraph" w:styleId="Footer">
    <w:name w:val="footer"/>
    <w:basedOn w:val="Normal"/>
    <w:link w:val="FooterChar"/>
    <w:uiPriority w:val="99"/>
    <w:unhideWhenUsed/>
    <w:rsid w:val="0041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942ED-4CC5-49C0-A4C2-30CE91A43FF4}">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2B6D70C7-6793-4820-A2C5-DBA345B8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F232A-361A-4F55-9FDA-C964B5F94019}">
  <ds:schemaRefs>
    <ds:schemaRef ds:uri="http://schemas.microsoft.com/sharepoint/v3/contenttype/forms"/>
  </ds:schemaRefs>
</ds:datastoreItem>
</file>

<file path=docMetadata/LabelInfo.xml><?xml version="1.0" encoding="utf-8"?>
<clbl:labelList xmlns:clbl="http://schemas.microsoft.com/office/2020/mipLabelMetadata">
  <clbl:label id="{4fc102d4-62a0-4987-a133-c79583185202}" enabled="0" method="" siteId="{4fc102d4-62a0-4987-a133-c7958318520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Sheen</dc:creator>
  <cp:keywords/>
  <dc:description/>
  <cp:lastModifiedBy>Samantha Musoke</cp:lastModifiedBy>
  <cp:revision>6</cp:revision>
  <cp:lastPrinted>2024-08-05T14:51:00Z</cp:lastPrinted>
  <dcterms:created xsi:type="dcterms:W3CDTF">2024-08-07T12:58:00Z</dcterms:created>
  <dcterms:modified xsi:type="dcterms:W3CDTF">2024-08-09T07:47:00Z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y fmtid="{D5CDD505-2E9C-101B-9397-08002B2CF9AE}" pid="3" name="MediaServiceImageTags">
    <vt:lpwstr/>
  </property>
</Properties>
</file>